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0FEE53">
      <w:pPr>
        <w:rPr>
          <w:b/>
          <w:sz w:val="24"/>
          <w:szCs w:val="24"/>
        </w:rPr>
      </w:pPr>
      <w:r>
        <w:drawing>
          <wp:inline distT="0" distB="0" distL="0" distR="0">
            <wp:extent cx="3867150" cy="1143000"/>
            <wp:effectExtent l="0" t="0" r="0" b="0"/>
            <wp:docPr id="1038854732" name="图片 2" descr="日职标志标准字横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854732" name="图片 2" descr="日职标志标准字横排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2063750</wp:posOffset>
                </wp:positionH>
                <wp:positionV relativeFrom="paragraph">
                  <wp:posOffset>4845050</wp:posOffset>
                </wp:positionV>
                <wp:extent cx="3867150" cy="1143000"/>
                <wp:effectExtent l="0" t="0" r="0" b="0"/>
                <wp:wrapNone/>
                <wp:docPr id="1272567747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0D8006">
                            <w:pPr>
                              <w:jc w:val="center"/>
                              <w:rPr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</w:pPr>
                            <w:r>
                              <w:rPr>
                                <w:rFonts w:hint="eastAsia"/>
                                <w:sz w:val="72"/>
                                <w:szCs w:val="72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</w:rPr>
                              <w:t>商学系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162.5pt;margin-top:381.5pt;height:90pt;width:304.5pt;mso-wrap-style:none;z-index:251662336;mso-width-relative:page;mso-height-relative:page;" filled="f" stroked="f" coordsize="21600,21600" o:gfxdata="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kpnvPWAAAACwEAAA8AAAAAAAAAAQAgAAAAIgAAAGRycy9k&#10;b3ducmV2LnhtbFBLAQIUABQAAAAIAIdO4kBvIXTBPQIAAGUEAAAOAAAAAAAAAAEAIAAAACUBAABk&#10;cnMvZTJvRG9jLnhtbFBLBQYAAAAABgAGAFkBAADU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 w14:paraId="3F0D8006">
                      <w:pPr>
                        <w:jc w:val="center"/>
                        <w:rPr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</w:pPr>
                      <w:r>
                        <w:rPr>
                          <w:rFonts w:hint="eastAsia"/>
                          <w:sz w:val="72"/>
                          <w:szCs w:val="72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</w:rPr>
                        <w:t>商学系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-1041400</wp:posOffset>
            </wp:positionH>
            <wp:positionV relativeFrom="paragraph">
              <wp:posOffset>6000750</wp:posOffset>
            </wp:positionV>
            <wp:extent cx="7258050" cy="2787015"/>
            <wp:effectExtent l="0" t="0" r="0" b="0"/>
            <wp:wrapNone/>
            <wp:docPr id="2051353824" name="图片 5" descr="地滋楼速写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353824" name="图片 5" descr="地滋楼速写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58050" cy="278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-755650</wp:posOffset>
                </wp:positionH>
                <wp:positionV relativeFrom="paragraph">
                  <wp:posOffset>1612900</wp:posOffset>
                </wp:positionV>
                <wp:extent cx="7086600" cy="2141220"/>
                <wp:effectExtent l="0" t="0" r="0" b="0"/>
                <wp:wrapNone/>
                <wp:docPr id="1287644200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6600" cy="214122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 w14:paraId="583B9E82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anchor="ctr"/>
                    </wps:wsp>
                  </a:graphicData>
                </a:graphic>
              </wp:anchor>
            </w:drawing>
          </mc:Choice>
          <mc:Fallback>
            <w:pict>
              <v:rect id="矩形 3" o:spid="_x0000_s1026" o:spt="1" style="position:absolute;left:0pt;margin-left:-59.5pt;margin-top:127pt;height:168.6pt;width:558pt;z-index:251659264;v-text-anchor:middle;mso-width-relative:page;mso-height-relative:page;" fillcolor="#0070C0" filled="t" stroked="f" coordsize="21600,21600" o:gfxdata="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CfmZnfcAAAADAEAAA8AAAAAAAAAAQAg&#10;AAAAIgAAAGRycy9kb3ducmV2LnhtbFBLAQIUABQAAAAIAIdO4kBPXV4X0QEAAIwDAAAOAAAAAAAA&#10;AAEAIAAAACsBAABkcnMvZTJvRG9jLnhtbFBLBQYAAAAABgAGAFkBAABu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583B9E8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7C6DB8F">
      <w:pPr>
        <w:rPr>
          <w:b/>
          <w:sz w:val="30"/>
          <w:szCs w:val="30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-499110</wp:posOffset>
                </wp:positionH>
                <wp:positionV relativeFrom="paragraph">
                  <wp:posOffset>316865</wp:posOffset>
                </wp:positionV>
                <wp:extent cx="6630670" cy="2757805"/>
                <wp:effectExtent l="0" t="0" r="0" b="0"/>
                <wp:wrapNone/>
                <wp:docPr id="1680868238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670" cy="275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D3D929">
                            <w:pPr>
                              <w:pStyle w:val="5"/>
                              <w:spacing w:line="288" w:lineRule="auto"/>
                              <w:jc w:val="center"/>
                              <w:rPr>
                                <w:rFonts w:hint="eastAsia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eastAsia="微软雅黑"/>
                                <w:b/>
                                <w:color w:val="FFFFFF"/>
                                <w:kern w:val="24"/>
                                <w:sz w:val="84"/>
                                <w:szCs w:val="84"/>
                                <w:lang w:eastAsia="zh-Hans"/>
                              </w:rPr>
                              <w:t>《</w:t>
                            </w:r>
                            <w:r>
                              <w:rPr>
                                <w:rFonts w:hint="eastAsia" w:ascii="微软雅黑" w:eastAsia="微软雅黑"/>
                                <w:b/>
                                <w:color w:val="FFFFFF"/>
                                <w:kern w:val="24"/>
                                <w:sz w:val="84"/>
                                <w:szCs w:val="84"/>
                                <w:lang w:eastAsia="zh-CN"/>
                              </w:rPr>
                              <w:t>国家安全教育</w:t>
                            </w:r>
                            <w:r>
                              <w:rPr>
                                <w:rFonts w:ascii="微软雅黑" w:eastAsia="微软雅黑"/>
                                <w:b/>
                                <w:color w:val="FFFFFF"/>
                                <w:kern w:val="24"/>
                                <w:sz w:val="84"/>
                                <w:szCs w:val="84"/>
                                <w:lang w:eastAsia="zh-Hans"/>
                              </w:rPr>
                              <w:t>》</w:t>
                            </w:r>
                            <w:r>
                              <w:rPr>
                                <w:rFonts w:hint="eastAsia" w:ascii="微软雅黑" w:eastAsia="微软雅黑"/>
                                <w:b/>
                                <w:color w:val="FFFFFF"/>
                                <w:kern w:val="24"/>
                                <w:sz w:val="84"/>
                                <w:szCs w:val="84"/>
                                <w:lang w:eastAsia="zh-CN"/>
                              </w:rPr>
                              <w:t>课程标准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39.3pt;margin-top:24.95pt;height:217.15pt;width:522.1pt;z-index:251660288;mso-width-relative:page;mso-height-relative:page;" filled="f" stroked="f" coordsize="21600,21600" o:gfxdata="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DoQtwh&#10;1wAAAAoBAAAPAAAAAAAAAAEAIAAAACIAAABkcnMvZG93bnJldi54bWxQSwECFAAUAAAACACHTuJA&#10;+wF7wukBAACyAwAADgAAAAAAAAABACAAAAAmAQAAZHJzL2Uyb0RvYy54bWxQSwUGAAAAAAYABgBZ&#10;AQAAg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BD3D929">
                      <w:pPr>
                        <w:pStyle w:val="5"/>
                        <w:spacing w:line="288" w:lineRule="auto"/>
                        <w:jc w:val="center"/>
                        <w:rPr>
                          <w:rFonts w:hint="eastAsia" w:eastAsia="微软雅黑"/>
                          <w:lang w:eastAsia="zh-CN"/>
                        </w:rPr>
                      </w:pPr>
                      <w:r>
                        <w:rPr>
                          <w:rFonts w:ascii="微软雅黑" w:eastAsia="微软雅黑"/>
                          <w:b/>
                          <w:color w:val="FFFFFF"/>
                          <w:kern w:val="24"/>
                          <w:sz w:val="84"/>
                          <w:szCs w:val="84"/>
                          <w:lang w:eastAsia="zh-Hans"/>
                        </w:rPr>
                        <w:t>《</w:t>
                      </w:r>
                      <w:r>
                        <w:rPr>
                          <w:rFonts w:hint="eastAsia" w:ascii="微软雅黑" w:eastAsia="微软雅黑"/>
                          <w:b/>
                          <w:color w:val="FFFFFF"/>
                          <w:kern w:val="24"/>
                          <w:sz w:val="84"/>
                          <w:szCs w:val="84"/>
                          <w:lang w:eastAsia="zh-CN"/>
                        </w:rPr>
                        <w:t>国家安全教育</w:t>
                      </w:r>
                      <w:r>
                        <w:rPr>
                          <w:rFonts w:ascii="微软雅黑" w:eastAsia="微软雅黑"/>
                          <w:b/>
                          <w:color w:val="FFFFFF"/>
                          <w:kern w:val="24"/>
                          <w:sz w:val="84"/>
                          <w:szCs w:val="84"/>
                          <w:lang w:eastAsia="zh-Hans"/>
                        </w:rPr>
                        <w:t>》</w:t>
                      </w:r>
                      <w:r>
                        <w:rPr>
                          <w:rFonts w:hint="eastAsia" w:ascii="微软雅黑" w:eastAsia="微软雅黑"/>
                          <w:b/>
                          <w:color w:val="FFFFFF"/>
                          <w:kern w:val="24"/>
                          <w:sz w:val="84"/>
                          <w:szCs w:val="84"/>
                          <w:lang w:eastAsia="zh-CN"/>
                        </w:rPr>
                        <w:t>课程标准</w:t>
                      </w:r>
                    </w:p>
                  </w:txbxContent>
                </v:textbox>
              </v:shape>
            </w:pict>
          </mc:Fallback>
        </mc:AlternateContent>
      </w:r>
    </w:p>
    <w:p w14:paraId="3E7A513C">
      <w:pPr>
        <w:rPr>
          <w:b/>
          <w:sz w:val="30"/>
          <w:szCs w:val="30"/>
        </w:rPr>
      </w:pPr>
    </w:p>
    <w:p w14:paraId="7F67BF7D">
      <w:pPr>
        <w:rPr>
          <w:b/>
          <w:sz w:val="30"/>
          <w:szCs w:val="30"/>
        </w:rPr>
      </w:pPr>
    </w:p>
    <w:p w14:paraId="02834F51">
      <w:pPr>
        <w:rPr>
          <w:b/>
          <w:sz w:val="30"/>
          <w:szCs w:val="30"/>
        </w:rPr>
      </w:pPr>
    </w:p>
    <w:p w14:paraId="686F0B40">
      <w:pPr>
        <w:rPr>
          <w:b/>
          <w:sz w:val="30"/>
          <w:szCs w:val="30"/>
        </w:rPr>
      </w:pPr>
    </w:p>
    <w:p w14:paraId="3D5154CC">
      <w:pPr>
        <w:rPr>
          <w:b/>
          <w:sz w:val="30"/>
          <w:szCs w:val="30"/>
        </w:rPr>
      </w:pPr>
    </w:p>
    <w:p w14:paraId="1D8CC64C">
      <w:pPr>
        <w:rPr>
          <w:b/>
          <w:sz w:val="30"/>
          <w:szCs w:val="30"/>
        </w:rPr>
      </w:pPr>
    </w:p>
    <w:p w14:paraId="78259D1B">
      <w:pPr>
        <w:rPr>
          <w:b/>
          <w:sz w:val="30"/>
          <w:szCs w:val="30"/>
        </w:rPr>
      </w:pPr>
    </w:p>
    <w:p w14:paraId="6C82EE41">
      <w:pPr>
        <w:rPr>
          <w:b/>
          <w:sz w:val="30"/>
          <w:szCs w:val="30"/>
        </w:rPr>
      </w:pPr>
    </w:p>
    <w:p w14:paraId="2DB95CBB">
      <w:pPr>
        <w:rPr>
          <w:b/>
          <w:sz w:val="30"/>
          <w:szCs w:val="30"/>
        </w:rPr>
      </w:pPr>
    </w:p>
    <w:p w14:paraId="4B20C002">
      <w:pPr>
        <w:rPr>
          <w:b/>
          <w:sz w:val="30"/>
          <w:szCs w:val="30"/>
        </w:rPr>
      </w:pPr>
    </w:p>
    <w:p w14:paraId="509E6219">
      <w:pPr>
        <w:rPr>
          <w:b/>
          <w:sz w:val="30"/>
          <w:szCs w:val="30"/>
        </w:rPr>
      </w:pPr>
    </w:p>
    <w:p w14:paraId="09C283E9">
      <w:pPr>
        <w:rPr>
          <w:b/>
          <w:sz w:val="30"/>
          <w:szCs w:val="30"/>
        </w:rPr>
      </w:pPr>
    </w:p>
    <w:p w14:paraId="656A849A">
      <w:pPr>
        <w:rPr>
          <w:b/>
          <w:sz w:val="30"/>
          <w:szCs w:val="30"/>
        </w:rPr>
      </w:pPr>
    </w:p>
    <w:p w14:paraId="69B599BD">
      <w:pPr>
        <w:rPr>
          <w:b/>
          <w:sz w:val="30"/>
          <w:szCs w:val="30"/>
        </w:rPr>
      </w:pPr>
    </w:p>
    <w:p w14:paraId="7AC36177">
      <w:pPr>
        <w:spacing w:line="500" w:lineRule="exact"/>
        <w:jc w:val="center"/>
        <w:rPr>
          <w:rFonts w:hint="default" w:ascii="黑体" w:hAnsi="黑体" w:eastAsia="黑体"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44"/>
          <w:szCs w:val="44"/>
          <w:lang w:val="en-US" w:eastAsia="zh-CN"/>
        </w:rPr>
        <w:t>国家安全教育</w:t>
      </w:r>
      <w:r>
        <w:rPr>
          <w:rFonts w:hint="eastAsia" w:ascii="黑体" w:hAnsi="黑体" w:eastAsia="黑体"/>
          <w:bCs/>
          <w:color w:val="000000"/>
          <w:sz w:val="44"/>
          <w:szCs w:val="44"/>
        </w:rPr>
        <w:t>课程标</w:t>
      </w:r>
      <w:r>
        <w:rPr>
          <w:rFonts w:hint="eastAsia" w:ascii="黑体" w:hAnsi="黑体" w:eastAsia="黑体"/>
          <w:bCs/>
          <w:sz w:val="44"/>
          <w:szCs w:val="44"/>
        </w:rPr>
        <w:t>准</w:t>
      </w:r>
    </w:p>
    <w:p w14:paraId="517C3850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</w:p>
    <w:p w14:paraId="5B591674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一、课程基本信息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0"/>
        <w:gridCol w:w="2793"/>
        <w:gridCol w:w="1781"/>
        <w:gridCol w:w="2453"/>
      </w:tblGrid>
      <w:tr w14:paraId="6C4C6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67B30C76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课程代码</w:t>
            </w:r>
          </w:p>
        </w:tc>
        <w:tc>
          <w:tcPr>
            <w:tcW w:w="2793" w:type="dxa"/>
            <w:noWrap w:val="0"/>
            <w:vAlign w:val="center"/>
          </w:tcPr>
          <w:p w14:paraId="3E9C3E81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pacing w:val="-8"/>
                <w:sz w:val="18"/>
                <w:szCs w:val="18"/>
                <w:lang w:val="en-US" w:eastAsia="zh-CN"/>
              </w:rPr>
              <w:t>300919</w:t>
            </w:r>
          </w:p>
        </w:tc>
        <w:tc>
          <w:tcPr>
            <w:tcW w:w="1781" w:type="dxa"/>
            <w:noWrap w:val="0"/>
            <w:vAlign w:val="center"/>
          </w:tcPr>
          <w:p w14:paraId="630785FC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课程性质</w:t>
            </w:r>
          </w:p>
        </w:tc>
        <w:tc>
          <w:tcPr>
            <w:tcW w:w="2453" w:type="dxa"/>
            <w:noWrap w:val="0"/>
            <w:vAlign w:val="center"/>
          </w:tcPr>
          <w:p w14:paraId="2D4B9877">
            <w:pPr>
              <w:spacing w:line="240" w:lineRule="atLeast"/>
              <w:jc w:val="center"/>
              <w:rPr>
                <w:rFonts w:hint="default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公共必修课</w:t>
            </w:r>
          </w:p>
        </w:tc>
      </w:tr>
      <w:tr w14:paraId="4FF07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5B5EFD03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适用专业</w:t>
            </w:r>
          </w:p>
        </w:tc>
        <w:tc>
          <w:tcPr>
            <w:tcW w:w="2793" w:type="dxa"/>
            <w:noWrap w:val="0"/>
            <w:vAlign w:val="center"/>
          </w:tcPr>
          <w:p w14:paraId="6CCE932F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所有专业</w:t>
            </w:r>
          </w:p>
        </w:tc>
        <w:tc>
          <w:tcPr>
            <w:tcW w:w="1781" w:type="dxa"/>
            <w:noWrap w:val="0"/>
            <w:vAlign w:val="center"/>
          </w:tcPr>
          <w:p w14:paraId="7A922075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FF0000"/>
                <w:szCs w:val="21"/>
                <w:highlight w:val="yellow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开设学期</w:t>
            </w:r>
          </w:p>
        </w:tc>
        <w:tc>
          <w:tcPr>
            <w:tcW w:w="2453" w:type="dxa"/>
            <w:noWrap w:val="0"/>
            <w:vAlign w:val="center"/>
          </w:tcPr>
          <w:p w14:paraId="17BA1F61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  <w:t>第一学期</w:t>
            </w:r>
          </w:p>
        </w:tc>
      </w:tr>
      <w:tr w14:paraId="2E58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0381FFFD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课程类别</w:t>
            </w:r>
          </w:p>
        </w:tc>
        <w:tc>
          <w:tcPr>
            <w:tcW w:w="2793" w:type="dxa"/>
            <w:noWrap w:val="0"/>
            <w:vAlign w:val="center"/>
          </w:tcPr>
          <w:p w14:paraId="00C1984E">
            <w:pPr>
              <w:spacing w:line="240" w:lineRule="atLeast"/>
              <w:jc w:val="center"/>
              <w:rPr>
                <w:rFonts w:hint="default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  <w:t>A</w:t>
            </w:r>
          </w:p>
        </w:tc>
        <w:tc>
          <w:tcPr>
            <w:tcW w:w="1781" w:type="dxa"/>
            <w:noWrap w:val="0"/>
            <w:vAlign w:val="center"/>
          </w:tcPr>
          <w:p w14:paraId="7C5440EA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bCs/>
                <w:color w:val="000000"/>
                <w:szCs w:val="21"/>
              </w:rPr>
              <w:t>课程类型</w:t>
            </w:r>
          </w:p>
        </w:tc>
        <w:tc>
          <w:tcPr>
            <w:tcW w:w="2453" w:type="dxa"/>
            <w:noWrap w:val="0"/>
            <w:vAlign w:val="center"/>
          </w:tcPr>
          <w:p w14:paraId="6CC7F8D9">
            <w:pPr>
              <w:spacing w:line="240" w:lineRule="atLeast"/>
              <w:jc w:val="center"/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  <w:t>理论课</w:t>
            </w:r>
          </w:p>
        </w:tc>
      </w:tr>
      <w:tr w14:paraId="13037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80" w:type="dxa"/>
            <w:noWrap w:val="0"/>
            <w:vAlign w:val="center"/>
          </w:tcPr>
          <w:p w14:paraId="7121E282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 xml:space="preserve">学 </w:t>
            </w:r>
            <w:r>
              <w:rPr>
                <w:rFonts w:ascii="宋体" w:hAnsi="宋体" w:cs="仿宋_GB2312"/>
                <w:bCs/>
                <w:color w:val="000000"/>
                <w:szCs w:val="21"/>
              </w:rPr>
              <w:t xml:space="preserve">   </w:t>
            </w: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分</w:t>
            </w:r>
          </w:p>
        </w:tc>
        <w:tc>
          <w:tcPr>
            <w:tcW w:w="2793" w:type="dxa"/>
            <w:noWrap w:val="0"/>
            <w:vAlign w:val="center"/>
          </w:tcPr>
          <w:p w14:paraId="2FA53DF2">
            <w:pPr>
              <w:spacing w:line="240" w:lineRule="atLeast"/>
              <w:jc w:val="center"/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1</w:t>
            </w:r>
          </w:p>
        </w:tc>
        <w:tc>
          <w:tcPr>
            <w:tcW w:w="1781" w:type="dxa"/>
            <w:noWrap w:val="0"/>
            <w:vAlign w:val="center"/>
          </w:tcPr>
          <w:p w14:paraId="6F097E74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总 学 时</w:t>
            </w:r>
          </w:p>
        </w:tc>
        <w:tc>
          <w:tcPr>
            <w:tcW w:w="2453" w:type="dxa"/>
            <w:noWrap w:val="0"/>
            <w:vAlign w:val="center"/>
          </w:tcPr>
          <w:p w14:paraId="01BC0D2F">
            <w:pPr>
              <w:spacing w:line="240" w:lineRule="atLeast"/>
              <w:jc w:val="center"/>
              <w:rPr>
                <w:rFonts w:hint="default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16</w:t>
            </w:r>
          </w:p>
        </w:tc>
      </w:tr>
      <w:tr w14:paraId="58DDD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4B0D2DB1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学时分配</w:t>
            </w:r>
          </w:p>
        </w:tc>
        <w:tc>
          <w:tcPr>
            <w:tcW w:w="7027" w:type="dxa"/>
            <w:gridSpan w:val="3"/>
            <w:noWrap w:val="0"/>
            <w:vAlign w:val="center"/>
          </w:tcPr>
          <w:p w14:paraId="0AEE4A11">
            <w:pPr>
              <w:spacing w:line="240" w:lineRule="atLeast"/>
              <w:jc w:val="left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理论学时：</w:t>
            </w: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 xml:space="preserve"> ；实践学时： </w:t>
            </w: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 xml:space="preserve">  </w:t>
            </w:r>
          </w:p>
        </w:tc>
      </w:tr>
      <w:tr w14:paraId="5930A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2428CA76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实施场所</w:t>
            </w:r>
          </w:p>
        </w:tc>
        <w:tc>
          <w:tcPr>
            <w:tcW w:w="2793" w:type="dxa"/>
            <w:tcBorders>
              <w:right w:val="single" w:color="auto" w:sz="4" w:space="0"/>
            </w:tcBorders>
            <w:noWrap w:val="0"/>
            <w:vAlign w:val="center"/>
          </w:tcPr>
          <w:p w14:paraId="18D755AA">
            <w:pPr>
              <w:spacing w:line="240" w:lineRule="atLeast"/>
              <w:jc w:val="center"/>
              <w:rPr>
                <w:rFonts w:hint="default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多媒体教室</w:t>
            </w:r>
          </w:p>
        </w:tc>
        <w:tc>
          <w:tcPr>
            <w:tcW w:w="178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6B76D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授课方式</w:t>
            </w:r>
          </w:p>
        </w:tc>
        <w:tc>
          <w:tcPr>
            <w:tcW w:w="2453" w:type="dxa"/>
            <w:tcBorders>
              <w:left w:val="single" w:color="auto" w:sz="4" w:space="0"/>
            </w:tcBorders>
            <w:noWrap w:val="0"/>
            <w:vAlign w:val="center"/>
          </w:tcPr>
          <w:p w14:paraId="2B102514">
            <w:pPr>
              <w:spacing w:line="240" w:lineRule="atLeast"/>
              <w:jc w:val="center"/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讲练结合</w:t>
            </w:r>
          </w:p>
        </w:tc>
      </w:tr>
      <w:tr w14:paraId="02FA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662BB834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执笔人</w:t>
            </w:r>
          </w:p>
        </w:tc>
        <w:tc>
          <w:tcPr>
            <w:tcW w:w="7027" w:type="dxa"/>
            <w:gridSpan w:val="3"/>
            <w:noWrap w:val="0"/>
            <w:vAlign w:val="center"/>
          </w:tcPr>
          <w:p w14:paraId="533B3A5C">
            <w:pPr>
              <w:spacing w:line="240" w:lineRule="atLeast"/>
              <w:jc w:val="center"/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成伟</w:t>
            </w:r>
          </w:p>
        </w:tc>
      </w:tr>
      <w:tr w14:paraId="25262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80" w:type="dxa"/>
            <w:noWrap w:val="0"/>
            <w:vAlign w:val="center"/>
          </w:tcPr>
          <w:p w14:paraId="5DB2F6C3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审核人</w:t>
            </w:r>
          </w:p>
        </w:tc>
        <w:tc>
          <w:tcPr>
            <w:tcW w:w="7027" w:type="dxa"/>
            <w:gridSpan w:val="3"/>
            <w:noWrap w:val="0"/>
            <w:vAlign w:val="center"/>
          </w:tcPr>
          <w:p w14:paraId="60C27F73">
            <w:pPr>
              <w:spacing w:line="240" w:lineRule="atLeast"/>
              <w:jc w:val="center"/>
              <w:rPr>
                <w:rFonts w:hint="eastAsia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刘祥荣</w:t>
            </w:r>
          </w:p>
        </w:tc>
      </w:tr>
      <w:tr w14:paraId="48C8E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780" w:type="dxa"/>
            <w:noWrap w:val="0"/>
            <w:vAlign w:val="center"/>
          </w:tcPr>
          <w:p w14:paraId="6846595A">
            <w:pPr>
              <w:spacing w:line="240" w:lineRule="atLeast"/>
              <w:jc w:val="center"/>
              <w:rPr>
                <w:rFonts w:hint="eastAsia" w:ascii="宋体" w:hAnsi="宋体" w:cs="仿宋_GB2312"/>
                <w:bCs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</w:rPr>
              <w:t>制订时间</w:t>
            </w:r>
          </w:p>
        </w:tc>
        <w:tc>
          <w:tcPr>
            <w:tcW w:w="7027" w:type="dxa"/>
            <w:gridSpan w:val="3"/>
            <w:noWrap w:val="0"/>
            <w:vAlign w:val="center"/>
          </w:tcPr>
          <w:p w14:paraId="03091AED">
            <w:pPr>
              <w:spacing w:line="240" w:lineRule="atLeast"/>
              <w:jc w:val="center"/>
              <w:rPr>
                <w:rFonts w:hint="default" w:ascii="宋体" w:hAnsi="宋体" w:eastAsia="宋体" w:cs="仿宋_GB2312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仿宋_GB2312"/>
                <w:bCs/>
                <w:color w:val="000000"/>
                <w:szCs w:val="21"/>
                <w:lang w:val="en-US" w:eastAsia="zh-CN"/>
              </w:rPr>
              <w:t>2024.9.30</w:t>
            </w:r>
          </w:p>
        </w:tc>
      </w:tr>
    </w:tbl>
    <w:p w14:paraId="3148E97B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二、课程概述</w:t>
      </w:r>
    </w:p>
    <w:p w14:paraId="6B8E917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（一）课程定位</w:t>
      </w:r>
    </w:p>
    <w:p w14:paraId="5A55D949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课程是全日制各专业的公共必修课。习近平总书记在党的二十大报告中指出:“国家安全是民族复兴的根基，社会稳定是国家强盛的前提。必须坚定不移贯彻总体国家安全观，把维护国家安全贯穿党和国家工作各方面全过程，确保国家安全和社会稳定。”在深刻复杂变化的国际国内环境中，在不断扩大开放的发展过程中，系统掌握总体国家安全观，增强维护国家安全的意识，提高维护和塑造国家安全的能力，是时代赋予大学生的使命要求。新时代大学生必须认真学习和践行总体国家安全观，树立国家安全底线思维，将国家安全意识转化为自觉行动，强化学生责任担当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为以中国式现代化全面推进强国建设、民族复兴伟业贡献青春力量。</w:t>
      </w:r>
    </w:p>
    <w:p w14:paraId="0FEA3B16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>三、课程目标</w:t>
      </w:r>
    </w:p>
    <w:p w14:paraId="51DEBEA0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（一）总体目标：</w:t>
      </w:r>
    </w:p>
    <w:p w14:paraId="79DEEE6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通过国家安全教育，使学生能够深入理解和准确把握总体国家安全观，牢固树立国家利益至上的观念，增强自觉维护国家安全意识，具备维护国家安全的能力。重点围绕理解中华民族命运与国家关系，践行总体国家安全观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使</w:t>
      </w:r>
      <w:r>
        <w:rPr>
          <w:rFonts w:hint="eastAsia" w:ascii="宋体" w:hAnsi="宋体" w:eastAsia="宋体" w:cs="宋体"/>
          <w:sz w:val="28"/>
          <w:szCs w:val="28"/>
        </w:rPr>
        <w:t>学生系统掌握总体国家安全观的内涵和精神实质，理解中国特色国家安全体系，树立国家安全底线思维，将国家安全意识转化为自觉行动，强化责任担当。</w:t>
      </w:r>
    </w:p>
    <w:p w14:paraId="43423D3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（二）素质目标： </w:t>
      </w:r>
    </w:p>
    <w:p w14:paraId="5D5BD5CC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能够</w:t>
      </w:r>
      <w:r>
        <w:rPr>
          <w:rFonts w:hint="eastAsia" w:ascii="宋体" w:hAnsi="宋体" w:eastAsia="宋体" w:cs="宋体"/>
          <w:sz w:val="28"/>
          <w:szCs w:val="28"/>
        </w:rPr>
        <w:t>深刻认识新时代我国国家安全形势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自觉学习和遵守《国家安全法》等法律规则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E973FDA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能够科学把握总体国家安全观，树牢维护和塑造国家安全的自觉意识、家国情怀和使命担当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0E44C7A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能从政治大势、政治大局看问题，涵养对“国之大者”的认识。</w:t>
      </w:r>
    </w:p>
    <w:p w14:paraId="24116AC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能正确认识世界和中国的发展大势，正确认识中国特色和国际比较，正确认识时代责任和历史使命，正确认识远大抱负和脚踏实地。</w:t>
      </w:r>
    </w:p>
    <w:p w14:paraId="27E215E6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在新时代伟大斗争中经风雨、见世面、长才干，听党话、跟党走，为维护和塑造国家安全挺膺担当，切实担负起构筑维护国家安全合力的时代责任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38943E1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（三）知识目标：</w:t>
      </w:r>
    </w:p>
    <w:p w14:paraId="3B5FDCF7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深刻认识新时代我国国家安全形势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AB21DD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能完整准确领会总体国家安全观。</w:t>
      </w:r>
    </w:p>
    <w:p w14:paraId="03E4F963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正确理解</w:t>
      </w:r>
      <w:r>
        <w:rPr>
          <w:rFonts w:hint="eastAsia" w:ascii="宋体" w:hAnsi="宋体" w:eastAsia="宋体" w:cs="宋体"/>
          <w:sz w:val="28"/>
          <w:szCs w:val="28"/>
        </w:rPr>
        <w:t>在党的领导下走好中国特色国家安全道路。</w:t>
      </w:r>
    </w:p>
    <w:p w14:paraId="7224413A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正确认识</w:t>
      </w:r>
      <w:r>
        <w:rPr>
          <w:rFonts w:hint="eastAsia" w:ascii="宋体" w:hAnsi="宋体" w:eastAsia="宋体" w:cs="宋体"/>
          <w:sz w:val="28"/>
          <w:szCs w:val="28"/>
        </w:rPr>
        <w:t>更好统筹发展和安全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的重大意义、科学内涵、</w:t>
      </w:r>
      <w:r>
        <w:rPr>
          <w:rFonts w:hint="eastAsia" w:ascii="宋体" w:hAnsi="宋体" w:eastAsia="宋体" w:cs="宋体"/>
          <w:sz w:val="28"/>
          <w:szCs w:val="28"/>
        </w:rPr>
        <w:t>途径和方法。</w:t>
      </w:r>
    </w:p>
    <w:p w14:paraId="27B323BD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5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正确理解坚持以人民安全为宗旨的科学内涵、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风险挑战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途径和方法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29D574B2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6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准确把握坚持以政治安全为根本的科学内涵、风险挑战、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途径和方法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</w:t>
      </w:r>
    </w:p>
    <w:p w14:paraId="43A7A261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（7）能准确把握坚持以经济安全为基础的科学内涵、风险挑战、途径和方法。</w:t>
      </w:r>
    </w:p>
    <w:p w14:paraId="42EECF35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（8）能准确把握以军事、科技、文化、社会安全为保障的科学内涵、风险挑战、途径和方法。</w:t>
      </w:r>
    </w:p>
    <w:p w14:paraId="41685FFF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（9）能准确把握以促进国际安全为依托的科学内涵、风险挑战、途径和方法。</w:t>
      </w:r>
    </w:p>
    <w:p w14:paraId="17B5DC77">
      <w:pPr>
        <w:ind w:firstLine="560" w:firstLineChars="200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（10）能准确把握筑牢其他各领域国家安全屏障的科学内涵、风险挑战、途径和方法。</w:t>
      </w:r>
    </w:p>
    <w:p w14:paraId="5011ABB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（四）能力目标： </w:t>
      </w:r>
    </w:p>
    <w:p w14:paraId="2E2EF6B2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能增强国家安全意识，坚持国家利益至上。</w:t>
      </w:r>
    </w:p>
    <w:p w14:paraId="298E4764"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能增强忧患意识，发扬斗争精神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6312B191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3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</w:rPr>
        <w:t>增强社会责任，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履行维护国家安全的法定义务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</w:t>
      </w:r>
      <w:r>
        <w:rPr>
          <w:rFonts w:hint="default" w:ascii="宋体" w:hAnsi="宋体" w:eastAsia="宋体" w:cs="宋体"/>
          <w:sz w:val="28"/>
          <w:szCs w:val="28"/>
          <w:lang w:val="en-US" w:eastAsia="zh-CN"/>
        </w:rPr>
        <w:t>积极参与国家安全教育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p w14:paraId="41F0E975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能对国家安全形成系统的认识，能自觉做总体国家安全观的坚定信仰者和忠实践行者</w:t>
      </w:r>
      <w:r>
        <w:rPr>
          <w:rFonts w:hint="eastAsia" w:ascii="宋体" w:hAnsi="宋体" w:eastAsia="宋体" w:cs="宋体"/>
          <w:sz w:val="28"/>
          <w:szCs w:val="28"/>
        </w:rPr>
        <w:t>。</w:t>
      </w:r>
    </w:p>
    <w:tbl>
      <w:tblPr>
        <w:tblStyle w:val="6"/>
        <w:tblW w:w="87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946"/>
        <w:gridCol w:w="4976"/>
        <w:gridCol w:w="1353"/>
        <w:gridCol w:w="989"/>
      </w:tblGrid>
      <w:tr w14:paraId="5B169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ABF07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序号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D573E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章节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53589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教学目标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7C3C7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教学方法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4C2D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</w:tr>
      <w:tr w14:paraId="75FCA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300E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A8113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导论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14BDB7"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1.</w:t>
            </w:r>
            <w:r>
              <w:rPr>
                <w:rFonts w:hint="eastAsia"/>
              </w:rPr>
              <w:t>深刻认识新时代我国国家安全形势</w:t>
            </w:r>
          </w:p>
          <w:p w14:paraId="52FC4ED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2.</w:t>
            </w:r>
            <w:r>
              <w:rPr>
                <w:rFonts w:hint="eastAsia"/>
              </w:rPr>
              <w:t>不断加强大学生国家安全教育</w:t>
            </w:r>
          </w:p>
          <w:p w14:paraId="0535D27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3.</w:t>
            </w:r>
            <w:r>
              <w:rPr>
                <w:rFonts w:hint="eastAsia"/>
              </w:rPr>
              <w:t>深入学习贯彻总体国家安全观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C363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7C50879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3159E42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98EA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</w:tr>
      <w:tr w14:paraId="12687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19FD3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9B04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第一章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D56C2">
            <w:pPr>
              <w:numPr>
                <w:ilvl w:val="0"/>
                <w:numId w:val="0"/>
              </w:numPr>
              <w:ind w:left="0" w:leftChars="0" w:firstLine="420" w:firstLineChars="20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完整准确领会总体国家安全观：总体国家安全观的创立、科学内涵、重点领域和基本特征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3F3EF1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1542306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1571FFD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D2AF5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12540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6D0C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E2DC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第二章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8AAD60">
            <w:pPr>
              <w:numPr>
                <w:ilvl w:val="0"/>
                <w:numId w:val="0"/>
              </w:numPr>
              <w:ind w:left="0" w:leftChars="0"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在党的领导下走好中国特色国家安全道路</w:t>
            </w:r>
            <w:r>
              <w:rPr>
                <w:rFonts w:hint="eastAsia"/>
                <w:lang w:eastAsia="zh-CN"/>
              </w:rPr>
              <w:t>：</w:t>
            </w:r>
            <w:r>
              <w:rPr>
                <w:rFonts w:hint="eastAsia"/>
              </w:rPr>
              <w:t>坚持党对国家安全工作的绝对领导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坚持中国特色国家安全道路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</w:rPr>
              <w:t>推进国家安全体系和能力现代化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9013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2943544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253F33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1DC3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0B669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687BD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8AC00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第三章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E4C82">
            <w:pPr>
              <w:ind w:firstLine="420" w:firstLineChars="200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正确认识</w:t>
            </w:r>
            <w:r>
              <w:rPr>
                <w:rFonts w:hint="eastAsia" w:ascii="Calibri" w:hAnsi="Calibri" w:eastAsia="宋体" w:cs="Times New Roman"/>
              </w:rPr>
              <w:t>更好统筹发展和安全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的重大意义、科学内涵、</w:t>
            </w:r>
            <w:r>
              <w:rPr>
                <w:rFonts w:hint="eastAsia" w:ascii="Calibri" w:hAnsi="Calibri" w:eastAsia="宋体" w:cs="Times New Roman"/>
              </w:rPr>
              <w:t>途径和方法。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FA0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0F0979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04BAC1A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DCFD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4C301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3EC1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C5AC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第四章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52616">
            <w:pPr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正确理解坚持以人民安全为宗旨的科学内涵、</w:t>
            </w:r>
            <w:r>
              <w:rPr>
                <w:rFonts w:hint="default" w:ascii="Calibri" w:hAnsi="Calibri" w:eastAsia="宋体" w:cs="Times New Roman"/>
                <w:lang w:val="en-US" w:eastAsia="zh-CN"/>
              </w:rPr>
              <w:t>风险挑战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、</w:t>
            </w:r>
            <w:r>
              <w:rPr>
                <w:rFonts w:hint="default" w:ascii="Calibri" w:hAnsi="Calibri" w:eastAsia="宋体" w:cs="Times New Roman"/>
                <w:lang w:val="en-US" w:eastAsia="zh-CN"/>
              </w:rPr>
              <w:t>途径和方法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。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23A74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B48F41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61CD672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755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74BD7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BF7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1C25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第五章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06ADC">
            <w:pPr>
              <w:ind w:firstLine="420" w:firstLineChars="200"/>
              <w:rPr>
                <w:rFonts w:hint="eastAsia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准确把握坚持以政治安全为根本的科学内涵、风险挑战、</w:t>
            </w:r>
            <w:r>
              <w:rPr>
                <w:rFonts w:hint="default" w:ascii="Calibri" w:hAnsi="Calibri" w:eastAsia="宋体" w:cs="Times New Roman"/>
                <w:lang w:val="en-US" w:eastAsia="zh-CN"/>
              </w:rPr>
              <w:t>途径和方法</w:t>
            </w:r>
            <w:r>
              <w:rPr>
                <w:rFonts w:hint="eastAsia" w:ascii="Calibri" w:hAnsi="Calibri" w:eastAsia="宋体" w:cs="Times New Roman"/>
                <w:lang w:val="en-US" w:eastAsia="zh-CN"/>
              </w:rPr>
              <w:t>。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1FE80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70B9BE1C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13D201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D18B0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1F5DA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DDA0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35CF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第六章</w:t>
            </w:r>
          </w:p>
        </w:tc>
        <w:tc>
          <w:tcPr>
            <w:tcW w:w="49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B2092">
            <w:pPr>
              <w:ind w:firstLine="420" w:firstLineChars="200"/>
              <w:rPr>
                <w:rFonts w:hint="eastAsia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准确把握坚持以经济安全为基础的科学内涵、风险挑战、途径和方法。</w:t>
            </w:r>
          </w:p>
        </w:tc>
        <w:tc>
          <w:tcPr>
            <w:tcW w:w="13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26E6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A19F59D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19F7A84F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95FB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7427E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noWrap w:val="0"/>
            <w:vAlign w:val="center"/>
          </w:tcPr>
          <w:p w14:paraId="608EDC2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946" w:type="dxa"/>
            <w:noWrap w:val="0"/>
            <w:vAlign w:val="center"/>
          </w:tcPr>
          <w:p w14:paraId="119F525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第七章</w:t>
            </w:r>
          </w:p>
        </w:tc>
        <w:tc>
          <w:tcPr>
            <w:tcW w:w="4976" w:type="dxa"/>
            <w:noWrap w:val="0"/>
            <w:vAlign w:val="center"/>
          </w:tcPr>
          <w:p w14:paraId="714AE142">
            <w:pPr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准确把握以军事、科技、文化、社会安全为保障的科学内涵、风险挑战、途径和方法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。</w:t>
            </w:r>
          </w:p>
        </w:tc>
        <w:tc>
          <w:tcPr>
            <w:tcW w:w="1353" w:type="dxa"/>
            <w:noWrap w:val="0"/>
            <w:vAlign w:val="center"/>
          </w:tcPr>
          <w:p w14:paraId="26DB8CC5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6A447D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03278A2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noWrap w:val="0"/>
            <w:vAlign w:val="center"/>
          </w:tcPr>
          <w:p w14:paraId="66905DC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66135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noWrap w:val="0"/>
            <w:vAlign w:val="center"/>
          </w:tcPr>
          <w:p w14:paraId="4AADD0B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946" w:type="dxa"/>
            <w:noWrap w:val="0"/>
            <w:vAlign w:val="center"/>
          </w:tcPr>
          <w:p w14:paraId="278C678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第八章</w:t>
            </w:r>
          </w:p>
        </w:tc>
        <w:tc>
          <w:tcPr>
            <w:tcW w:w="4976" w:type="dxa"/>
            <w:noWrap w:val="0"/>
            <w:vAlign w:val="center"/>
          </w:tcPr>
          <w:p w14:paraId="0B1393CE">
            <w:pPr>
              <w:ind w:firstLine="420" w:firstLineChars="200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准确把握以促进国际安全为依托的科学内涵、风险挑战、途径和方法。</w:t>
            </w:r>
          </w:p>
        </w:tc>
        <w:tc>
          <w:tcPr>
            <w:tcW w:w="1353" w:type="dxa"/>
            <w:noWrap w:val="0"/>
            <w:vAlign w:val="center"/>
          </w:tcPr>
          <w:p w14:paraId="2895B12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041AFAE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61E9CFE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noWrap w:val="0"/>
            <w:vAlign w:val="center"/>
          </w:tcPr>
          <w:p w14:paraId="1E9746D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7F1EA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noWrap w:val="0"/>
            <w:vAlign w:val="center"/>
          </w:tcPr>
          <w:p w14:paraId="0FD15A5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946" w:type="dxa"/>
            <w:noWrap w:val="0"/>
            <w:vAlign w:val="center"/>
          </w:tcPr>
          <w:p w14:paraId="1B3CBB7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第九章</w:t>
            </w:r>
          </w:p>
        </w:tc>
        <w:tc>
          <w:tcPr>
            <w:tcW w:w="4976" w:type="dxa"/>
            <w:noWrap w:val="0"/>
            <w:vAlign w:val="center"/>
          </w:tcPr>
          <w:p w14:paraId="1C4DD63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准确把握筑牢其他各领域国家安全屏障的科学内涵、风险挑战、途径和方法。</w:t>
            </w:r>
          </w:p>
        </w:tc>
        <w:tc>
          <w:tcPr>
            <w:tcW w:w="1353" w:type="dxa"/>
            <w:noWrap w:val="0"/>
            <w:vAlign w:val="center"/>
          </w:tcPr>
          <w:p w14:paraId="2A181F73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F83488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57804370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noWrap w:val="0"/>
            <w:vAlign w:val="center"/>
          </w:tcPr>
          <w:p w14:paraId="099E206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</w:tr>
      <w:tr w14:paraId="1C6A0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505" w:type="dxa"/>
            <w:noWrap w:val="0"/>
            <w:vAlign w:val="center"/>
          </w:tcPr>
          <w:p w14:paraId="76CD55A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946" w:type="dxa"/>
            <w:noWrap w:val="0"/>
            <w:vAlign w:val="center"/>
          </w:tcPr>
          <w:p w14:paraId="40F1425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第十章</w:t>
            </w:r>
          </w:p>
        </w:tc>
        <w:tc>
          <w:tcPr>
            <w:tcW w:w="4976" w:type="dxa"/>
            <w:noWrap w:val="0"/>
            <w:vAlign w:val="center"/>
          </w:tcPr>
          <w:p w14:paraId="431FD794">
            <w:pPr>
              <w:rPr>
                <w:rFonts w:hint="eastAsia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1.增强国家安全意识，坚持国家利益至上。</w:t>
            </w:r>
          </w:p>
          <w:p w14:paraId="44EAEBB9">
            <w:pPr>
              <w:rPr>
                <w:rFonts w:hint="eastAsia" w:ascii="Calibri" w:hAnsi="Calibri" w:eastAsia="宋体" w:cs="Times New Roman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2.增强忧患意识，发扬斗争精神。</w:t>
            </w:r>
          </w:p>
          <w:p w14:paraId="41128138">
            <w:pP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lang w:val="en-US" w:eastAsia="zh-CN"/>
              </w:rPr>
              <w:t>3.增强社会责任，形成维护国家安全合力</w:t>
            </w:r>
          </w:p>
        </w:tc>
        <w:tc>
          <w:tcPr>
            <w:tcW w:w="1353" w:type="dxa"/>
            <w:noWrap w:val="0"/>
            <w:vAlign w:val="center"/>
          </w:tcPr>
          <w:p w14:paraId="58CB58EB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15849B59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ADF9437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989" w:type="dxa"/>
            <w:noWrap w:val="0"/>
            <w:vAlign w:val="center"/>
          </w:tcPr>
          <w:p w14:paraId="57629AE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</w:tr>
    </w:tbl>
    <w:p w14:paraId="0CD3EEC5">
      <w:pPr>
        <w:numPr>
          <w:ilvl w:val="0"/>
          <w:numId w:val="1"/>
        </w:num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</w:rPr>
        <w:t xml:space="preserve">课程内容 </w:t>
      </w:r>
    </w:p>
    <w:p w14:paraId="06BEF790">
      <w:pPr>
        <w:numPr>
          <w:ilvl w:val="0"/>
          <w:numId w:val="0"/>
        </w:numPr>
        <w:spacing w:line="360" w:lineRule="auto"/>
        <w:rPr>
          <w:rFonts w:hint="eastAsia" w:ascii="黑体" w:hAnsi="黑体" w:eastAsia="黑体"/>
          <w:bCs/>
          <w:sz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lang w:eastAsia="zh-CN"/>
        </w:rPr>
        <w:t>（</w:t>
      </w:r>
      <w:r>
        <w:rPr>
          <w:rFonts w:hint="eastAsia" w:ascii="黑体" w:hAnsi="黑体" w:eastAsia="黑体"/>
          <w:bCs/>
          <w:sz w:val="28"/>
          <w:lang w:val="en-US" w:eastAsia="zh-CN"/>
        </w:rPr>
        <w:t>一）理论授课内容（10课时）</w:t>
      </w:r>
    </w:p>
    <w:p w14:paraId="6B5031AE">
      <w:pPr>
        <w:numPr>
          <w:ilvl w:val="0"/>
          <w:numId w:val="2"/>
        </w:numPr>
        <w:spacing w:line="360" w:lineRule="auto"/>
        <w:rPr>
          <w:rFonts w:hint="eastAsia" w:ascii="黑体" w:hAnsi="黑体" w:eastAsia="黑体"/>
          <w:bCs/>
          <w:sz w:val="28"/>
          <w:lang w:val="en-US" w:eastAsia="zh-CN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实践内容（6学时）</w:t>
      </w:r>
    </w:p>
    <w:p w14:paraId="39ABC65A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1.以小组为单位设计国家安全教育宣讲形式，开展国家安全教育宣讲活动。</w:t>
      </w:r>
    </w:p>
    <w:p w14:paraId="118368DB">
      <w:pPr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2.以小组为单位制作国家安全宣讲视频，鼓励学生创新国家安全教育模式。</w:t>
      </w:r>
    </w:p>
    <w:p w14:paraId="00F62445">
      <w:pPr>
        <w:ind w:firstLine="560" w:firstLineChars="200"/>
        <w:rPr>
          <w:rFonts w:hint="eastAsia" w:ascii="黑体" w:hAnsi="黑体" w:eastAsia="黑体"/>
          <w:bCs/>
          <w:sz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3.模/拟辩论：模拟新闻办，就某一社会安全事件，进行新闻发布。</w:t>
      </w:r>
    </w:p>
    <w:p w14:paraId="6208EA14">
      <w:pPr>
        <w:spacing w:line="360" w:lineRule="auto"/>
        <w:rPr>
          <w:rFonts w:hint="eastAsia" w:ascii="黑体" w:hAnsi="黑体" w:eastAsia="黑体"/>
          <w:bCs/>
          <w:sz w:val="28"/>
          <w:lang w:eastAsia="zh-CN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五</w:t>
      </w:r>
      <w:r>
        <w:rPr>
          <w:rFonts w:hint="eastAsia" w:ascii="黑体" w:hAnsi="黑体" w:eastAsia="黑体"/>
          <w:bCs/>
          <w:sz w:val="28"/>
        </w:rPr>
        <w:t>、课程实</w:t>
      </w:r>
      <w:r>
        <w:rPr>
          <w:rFonts w:hint="eastAsia" w:ascii="黑体" w:hAnsi="黑体" w:eastAsia="黑体" w:cs="Times New Roman"/>
          <w:bCs/>
          <w:sz w:val="28"/>
        </w:rPr>
        <w:t>施计划</w:t>
      </w:r>
      <w:r>
        <w:rPr>
          <w:rFonts w:hint="eastAsia" w:ascii="黑体" w:hAnsi="黑体" w:eastAsia="黑体" w:cs="Times New Roman"/>
          <w:bCs/>
          <w:sz w:val="28"/>
          <w:lang w:eastAsia="zh-CN"/>
        </w:rPr>
        <w:t>（</w:t>
      </w:r>
      <w:r>
        <w:rPr>
          <w:rFonts w:hint="eastAsia" w:ascii="黑体" w:hAnsi="黑体" w:eastAsia="黑体" w:cs="Times New Roman"/>
          <w:bCs/>
          <w:sz w:val="28"/>
          <w:lang w:val="en-US" w:eastAsia="zh-CN"/>
        </w:rPr>
        <w:t>单周网络营销，双周工企专业</w:t>
      </w:r>
      <w:r>
        <w:rPr>
          <w:rFonts w:hint="eastAsia" w:ascii="黑体" w:hAnsi="黑体" w:eastAsia="黑体" w:cs="Times New Roman"/>
          <w:bCs/>
          <w:sz w:val="28"/>
          <w:lang w:eastAsia="zh-CN"/>
        </w:rPr>
        <w:t>）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900"/>
        <w:gridCol w:w="753"/>
        <w:gridCol w:w="2186"/>
        <w:gridCol w:w="1597"/>
        <w:gridCol w:w="1597"/>
      </w:tblGrid>
      <w:tr w14:paraId="04AE7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B73BD1">
            <w:pPr>
              <w:widowControl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序号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64E74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周次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5F70BA">
            <w:pPr>
              <w:widowControl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学时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FC3C0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章节</w:t>
            </w:r>
            <w:r>
              <w:rPr>
                <w:rFonts w:hint="eastAsia" w:ascii="宋体" w:hAnsi="宋体"/>
                <w:color w:val="auto"/>
                <w:szCs w:val="21"/>
              </w:rPr>
              <w:t>（任务）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C79813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教学方法手段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A0ECDE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教学场所</w:t>
            </w:r>
          </w:p>
        </w:tc>
      </w:tr>
      <w:tr w14:paraId="3CE84B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EAECA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4B6D3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4/7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7451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0.5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B58A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导论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277FC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ECBBCD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31D3762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AA786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29849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21CC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CB86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4FC0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0527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第一章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D214D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0EABC84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6928F28A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3479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19514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EDA9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F93DCE">
            <w:pPr>
              <w:spacing w:line="360" w:lineRule="auto"/>
              <w:jc w:val="center"/>
              <w:rPr>
                <w:rFonts w:hint="default" w:ascii="宋体" w:hAnsi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6/7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BBB9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E39D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第二章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CB6D5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6803870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51A8E1D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981ED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05EB3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3EEF6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4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8F753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8/9</w:t>
            </w:r>
            <w:bookmarkStart w:id="0" w:name="_GoBack"/>
            <w:bookmarkEnd w:id="0"/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20CB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3C49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第三章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3AD78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84F5C2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6354475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CAB5E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58F6B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4A690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5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B6C35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10/11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375C9E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58378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第四章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36A0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44C05A90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0C542905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6F3AE6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30671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E2C053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6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18E9B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12/13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105E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CEFE1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第五章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C941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43BBE49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49CA102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A794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1B4D11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6ADCA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B69F8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14/15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74B4D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3E1A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第六章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A4BC4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1DBF08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25025BF4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EF59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681F3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434C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3CE60B5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16/17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CB9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4B81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第七章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FBE11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13FE12F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2C85E52D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051EE3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11259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D1F995">
            <w:pPr>
              <w:spacing w:line="360" w:lineRule="auto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9</w:t>
            </w: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F720AC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6EFA9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2A8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第八章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AE94BC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5AA94487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20AD2661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25DF9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5481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38FA31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10</w:t>
            </w:r>
          </w:p>
        </w:tc>
        <w:tc>
          <w:tcPr>
            <w:tcW w:w="9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B15D1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18/19</w:t>
            </w: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93CF5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268A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第九章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3253D9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3F69F97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493E83C3">
            <w:pPr>
              <w:spacing w:line="360" w:lineRule="auto"/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小组讨论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7EDFE">
            <w:pPr>
              <w:spacing w:line="360" w:lineRule="auto"/>
              <w:jc w:val="center"/>
              <w:rPr>
                <w:rFonts w:hint="eastAsia" w:ascii="宋体" w:hAnsi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  <w:tr w14:paraId="7F6EB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F6997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11</w:t>
            </w:r>
          </w:p>
        </w:tc>
        <w:tc>
          <w:tcPr>
            <w:tcW w:w="9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AAA2B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</w:p>
        </w:tc>
        <w:tc>
          <w:tcPr>
            <w:tcW w:w="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B662C">
            <w:pPr>
              <w:spacing w:line="360" w:lineRule="auto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0.5</w:t>
            </w:r>
          </w:p>
        </w:tc>
        <w:tc>
          <w:tcPr>
            <w:tcW w:w="2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896B2B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vertAlign w:val="baseline"/>
                <w:lang w:val="en-US" w:eastAsia="zh-CN"/>
              </w:rPr>
              <w:t>第十章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B066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专题讲授</w:t>
            </w:r>
          </w:p>
          <w:p w14:paraId="51A69A06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案例研讨</w:t>
            </w:r>
          </w:p>
          <w:p w14:paraId="05FD9D14">
            <w:pPr>
              <w:spacing w:line="360" w:lineRule="auto"/>
              <w:jc w:val="center"/>
              <w:rPr>
                <w:rFonts w:hint="default" w:ascii="宋体" w:hAnsi="宋体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vertAlign w:val="baseline"/>
                <w:lang w:val="en-US" w:eastAsia="zh-CN" w:bidi="ar-SA"/>
              </w:rPr>
              <w:t>小组辩论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605607">
            <w:pPr>
              <w:spacing w:line="360" w:lineRule="auto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多媒体教室</w:t>
            </w:r>
          </w:p>
        </w:tc>
      </w:tr>
    </w:tbl>
    <w:p w14:paraId="4B60F503">
      <w:pPr>
        <w:spacing w:line="360" w:lineRule="auto"/>
        <w:rPr>
          <w:rFonts w:hint="eastAsia" w:ascii="楷体_GB2312" w:hAnsi="宋体" w:eastAsia="楷体_GB2312"/>
          <w:b/>
          <w:bCs/>
          <w:sz w:val="28"/>
        </w:rPr>
      </w:pPr>
    </w:p>
    <w:p w14:paraId="1CC25FAB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六</w:t>
      </w:r>
      <w:r>
        <w:rPr>
          <w:rFonts w:hint="eastAsia" w:ascii="黑体" w:hAnsi="黑体" w:eastAsia="黑体"/>
          <w:bCs/>
          <w:sz w:val="28"/>
        </w:rPr>
        <w:t>、课程考核</w:t>
      </w:r>
    </w:p>
    <w:p w14:paraId="3F1FF4E4">
      <w:pPr>
        <w:spacing w:line="360" w:lineRule="auto"/>
        <w:ind w:firstLine="560" w:firstLineChars="200"/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</w:pPr>
      <w:r>
        <w:rPr>
          <w:rFonts w:ascii="宋体" w:hAnsi="宋体" w:cs="宋体"/>
          <w:color w:val="000000"/>
          <w:kern w:val="0"/>
          <w:sz w:val="28"/>
          <w:szCs w:val="28"/>
        </w:rPr>
        <w:t>考核方式</w:t>
      </w:r>
      <w:r>
        <w:rPr>
          <w:rFonts w:hint="eastAsia" w:ascii="宋体" w:hAnsi="宋体" w:cs="宋体"/>
          <w:color w:val="000000"/>
          <w:kern w:val="0"/>
          <w:sz w:val="28"/>
          <w:szCs w:val="28"/>
        </w:rPr>
        <w:t>：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过程考核与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val="en-US" w:eastAsia="zh-CN"/>
        </w:rPr>
        <w:t>终结性</w:t>
      </w:r>
      <w:r>
        <w:rPr>
          <w:rFonts w:hint="eastAsia" w:ascii="宋体" w:hAnsi="宋体" w:cs="宋体"/>
          <w:color w:val="000000"/>
          <w:kern w:val="0"/>
          <w:sz w:val="28"/>
          <w:szCs w:val="28"/>
          <w:lang w:eastAsia="zh-CN"/>
        </w:rPr>
        <w:t>考核相结合。</w:t>
      </w:r>
    </w:p>
    <w:p w14:paraId="6A0FCE47">
      <w:pPr>
        <w:spacing w:line="360" w:lineRule="auto"/>
        <w:ind w:firstLine="560" w:firstLineChars="200"/>
        <w:rPr>
          <w:rFonts w:hint="eastAsia"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七</w:t>
      </w:r>
      <w:r>
        <w:rPr>
          <w:rFonts w:hint="eastAsia" w:ascii="黑体" w:hAnsi="黑体" w:eastAsia="黑体"/>
          <w:bCs/>
          <w:sz w:val="28"/>
        </w:rPr>
        <w:t>、课程实施条件</w:t>
      </w:r>
    </w:p>
    <w:p w14:paraId="33EFBB2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1.学校提供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实施教学</w:t>
      </w:r>
      <w:r>
        <w:rPr>
          <w:rFonts w:hint="eastAsia" w:ascii="宋体" w:hAnsi="宋体" w:eastAsia="宋体" w:cs="宋体"/>
          <w:sz w:val="28"/>
          <w:szCs w:val="28"/>
        </w:rPr>
        <w:t>必要的场地和设备支持。</w:t>
      </w:r>
    </w:p>
    <w:p w14:paraId="66B2CA5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⒉学校安全部门协助教学工作，提供专业支持。</w:t>
      </w:r>
    </w:p>
    <w:p w14:paraId="09C92C6B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3.教学团队不断完善教学资料和技术支持。</w:t>
      </w:r>
    </w:p>
    <w:p w14:paraId="4842E559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4.学校领导高度重视安全教育工作，提供充分的人力和物力保障。</w:t>
      </w:r>
    </w:p>
    <w:p w14:paraId="454DA0BF">
      <w:pPr>
        <w:spacing w:line="360" w:lineRule="auto"/>
        <w:ind w:firstLine="560" w:firstLineChars="200"/>
        <w:rPr>
          <w:rFonts w:ascii="黑体" w:hAnsi="黑体" w:eastAsia="黑体"/>
          <w:bCs/>
          <w:sz w:val="28"/>
        </w:rPr>
      </w:pPr>
      <w:r>
        <w:rPr>
          <w:rFonts w:hint="eastAsia" w:ascii="黑体" w:hAnsi="黑体" w:eastAsia="黑体"/>
          <w:bCs/>
          <w:sz w:val="28"/>
          <w:lang w:val="en-US" w:eastAsia="zh-CN"/>
        </w:rPr>
        <w:t>八</w:t>
      </w:r>
      <w:r>
        <w:rPr>
          <w:rFonts w:hint="eastAsia" w:ascii="黑体" w:hAnsi="黑体" w:eastAsia="黑体"/>
          <w:bCs/>
          <w:sz w:val="28"/>
        </w:rPr>
        <w:t>、课程资源</w:t>
      </w:r>
    </w:p>
    <w:p w14:paraId="5E668E7C"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教材选用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：《</w:t>
      </w:r>
      <w:r>
        <w:rPr>
          <w:rFonts w:hint="eastAsia"/>
          <w:sz w:val="28"/>
          <w:szCs w:val="28"/>
        </w:rPr>
        <w:t>国家安全教育大学生读本</w:t>
      </w:r>
      <w:r>
        <w:rPr>
          <w:rFonts w:hint="eastAsia"/>
          <w:sz w:val="28"/>
          <w:szCs w:val="28"/>
          <w:lang w:eastAsia="zh-CN"/>
        </w:rPr>
        <w:t>》</w:t>
      </w:r>
    </w:p>
    <w:p w14:paraId="1E114EF2">
      <w:pPr>
        <w:spacing w:line="360" w:lineRule="auto"/>
        <w:rPr>
          <w:rFonts w:hint="eastAsia" w:ascii="黑体" w:hAnsi="黑体" w:eastAsia="黑体"/>
          <w:sz w:val="32"/>
          <w:szCs w:val="32"/>
        </w:rPr>
      </w:pPr>
    </w:p>
    <w:p w14:paraId="545A6921">
      <w:pPr>
        <w:spacing w:line="20" w:lineRule="exact"/>
        <w:jc w:val="left"/>
        <w:rPr>
          <w:rFonts w:hint="eastAsia" w:ascii="宋体" w:hAnsi="宋体"/>
          <w:b/>
          <w:sz w:val="28"/>
          <w:szCs w:val="28"/>
        </w:rPr>
      </w:pPr>
    </w:p>
    <w:p w14:paraId="1BB6B7D0">
      <w:pPr>
        <w:rPr>
          <w:b/>
          <w:sz w:val="30"/>
          <w:szCs w:val="30"/>
        </w:rPr>
      </w:pPr>
    </w:p>
    <w:sectPr>
      <w:headerReference r:id="rId7" w:type="first"/>
      <w:footerReference r:id="rId9" w:type="first"/>
      <w:headerReference r:id="rId5" w:type="default"/>
      <w:headerReference r:id="rId6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553B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2611D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A5FD8">
    <w:pPr>
      <w:pStyle w:val="4"/>
      <w:rPr>
        <w:rFonts w:hint="eastAsia" w:eastAsiaTheme="minorEastAsia"/>
        <w:lang w:eastAsia="zh-CN"/>
      </w:rPr>
    </w:pPr>
    <w:r>
      <w:rPr>
        <w:rFonts w:hint="eastAsia"/>
        <w:lang w:eastAsia="zh-CN"/>
      </w:rPr>
      <w:t>课程标准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8B1B23"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021A7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AC6264"/>
    <w:multiLevelType w:val="singleLevel"/>
    <w:tmpl w:val="99AC626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DAC35556"/>
    <w:multiLevelType w:val="singleLevel"/>
    <w:tmpl w:val="DAC3555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Y0MzdiM2NmY2MxYWQ4YzI2NmQ5ODAxZTIxOTczZDEifQ=="/>
    <w:docVar w:name="KSO_WPS_MARK_KEY" w:val="e3317659-b5b5-4a7d-b305-e0f13193ddb0"/>
  </w:docVars>
  <w:rsids>
    <w:rsidRoot w:val="0007289E"/>
    <w:rsid w:val="00011BCB"/>
    <w:rsid w:val="0007289E"/>
    <w:rsid w:val="00214C12"/>
    <w:rsid w:val="002547F0"/>
    <w:rsid w:val="00293C00"/>
    <w:rsid w:val="002E527F"/>
    <w:rsid w:val="003020CA"/>
    <w:rsid w:val="00405ECB"/>
    <w:rsid w:val="00457F74"/>
    <w:rsid w:val="0056429F"/>
    <w:rsid w:val="00575DB0"/>
    <w:rsid w:val="0063774D"/>
    <w:rsid w:val="00650547"/>
    <w:rsid w:val="0071252C"/>
    <w:rsid w:val="007152CE"/>
    <w:rsid w:val="00766A9E"/>
    <w:rsid w:val="00781BB1"/>
    <w:rsid w:val="007E7186"/>
    <w:rsid w:val="00815948"/>
    <w:rsid w:val="008D0159"/>
    <w:rsid w:val="00907D21"/>
    <w:rsid w:val="00950FC6"/>
    <w:rsid w:val="00961E22"/>
    <w:rsid w:val="009645C7"/>
    <w:rsid w:val="00A91149"/>
    <w:rsid w:val="00AD5EBC"/>
    <w:rsid w:val="00AF0146"/>
    <w:rsid w:val="00B33F9D"/>
    <w:rsid w:val="00B47262"/>
    <w:rsid w:val="00C50C36"/>
    <w:rsid w:val="00D14B9F"/>
    <w:rsid w:val="00D930AA"/>
    <w:rsid w:val="00FC586F"/>
    <w:rsid w:val="116F77F1"/>
    <w:rsid w:val="12B805AC"/>
    <w:rsid w:val="13B83A83"/>
    <w:rsid w:val="15E66DE1"/>
    <w:rsid w:val="25781863"/>
    <w:rsid w:val="287E5FC5"/>
    <w:rsid w:val="2DFC65CB"/>
    <w:rsid w:val="40F729F2"/>
    <w:rsid w:val="44D87B26"/>
    <w:rsid w:val="49B06D53"/>
    <w:rsid w:val="54035B1F"/>
    <w:rsid w:val="6670666B"/>
    <w:rsid w:val="68B61AFB"/>
    <w:rsid w:val="72E37765"/>
    <w:rsid w:val="75A5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after="0" w:line="240" w:lineRule="auto"/>
    </w:pPr>
    <w:rPr>
      <w:rFonts w:ascii="Calibri" w:hAnsi="Calibri" w:eastAsia="宋体" w:cs="Times New Roman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2">
    <w:name w:val="批注框文本 字符"/>
    <w:basedOn w:val="8"/>
    <w:link w:val="2"/>
    <w:semiHidden/>
    <w:qFormat/>
    <w:uiPriority w:val="99"/>
    <w:rPr>
      <w:sz w:val="18"/>
      <w:szCs w:val="18"/>
    </w:rPr>
  </w:style>
  <w:style w:type="character" w:customStyle="1" w:styleId="13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3"/>
    <w:qFormat/>
    <w:uiPriority w:val="99"/>
    <w:rPr>
      <w:sz w:val="18"/>
      <w:szCs w:val="18"/>
    </w:rPr>
  </w:style>
  <w:style w:type="paragraph" w:styleId="15">
    <w:name w:val="List Paragraph"/>
    <w:basedOn w:val="1"/>
    <w:qFormat/>
    <w:uiPriority w:val="99"/>
    <w:pPr>
      <w:spacing w:after="0" w:line="240" w:lineRule="auto"/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2485</Words>
  <Characters>2552</Characters>
  <Lines>1</Lines>
  <Paragraphs>1</Paragraphs>
  <TotalTime>19</TotalTime>
  <ScaleCrop>false</ScaleCrop>
  <LinksUpToDate>false</LinksUpToDate>
  <CharactersWithSpaces>2565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2024-05-15T00:36:00Z</dcterms:created>
  <dc:creator>Administrator</dc:creator>
  <cp:lastModifiedBy>沐沐</cp:lastModifiedBy>
  <dcterms:modified xsi:type="dcterms:W3CDTF">2025-11-17T01:37:01Z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181EF4F03B7D47DC84B9BBE1DDDB221A</vt:lpwstr>
  </property>
  <property fmtid="{D5CDD505-2E9C-101B-9397-08002B2CF9AE}" pid="4" name="KSOTemplateDocerSaveRecord">
    <vt:lpwstr>eyJoZGlkIjoiZjY0MzdiM2NmY2MxYWQ4YzI2NmQ5ODAxZTIxOTczZDEiLCJ1c2VySWQiOiI4ODkyMzE1NzIifQ==</vt:lpwstr>
  </property>
</Properties>
</file>