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tbl>
      <w:tblPr>
        <w:tblStyle w:val="10"/>
        <w:tblW w:w="9606" w:type="dxa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00" w:type="dxa"/>
          <w:left w:w="108" w:type="dxa"/>
          <w:bottom w:w="200" w:type="dxa"/>
          <w:right w:w="108" w:type="dxa"/>
        </w:tblCellMar>
      </w:tblPr>
      <w:tblGrid>
        <w:gridCol w:w="1159"/>
        <w:gridCol w:w="8447"/>
      </w:tblGrid>
      <w:tr w14:paraId="5DBA04E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4FA6A80">
            <w:pPr>
              <w:snapToGrid w:val="0"/>
              <w:spacing w:line="240" w:lineRule="auto"/>
              <w:ind w:firstLine="0" w:firstLineChars="0"/>
            </w:pP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B29D5FC">
            <w:pPr>
              <w:snapToGrid w:val="0"/>
              <w:spacing w:line="240" w:lineRule="auto"/>
              <w:ind w:firstLine="0" w:firstLineChars="0"/>
              <w:jc w:val="center"/>
              <w:rPr>
                <w:rFonts w:hint="default" w:eastAsia="宋体"/>
                <w:lang w:val="en-US" w:eastAsia="zh-CN"/>
              </w:rPr>
            </w:pPr>
            <w:r>
              <w:rPr>
                <w:rFonts w:hint="eastAsia" w:eastAsia="宋体"/>
                <w:b/>
                <w:bCs/>
                <w:color w:val="4F81BD" w:themeColor="accent1"/>
                <w:sz w:val="32"/>
                <w:szCs w:val="32"/>
                <w:lang w:val="en-US" w:eastAsia="zh-CN"/>
                <w14:textFill>
                  <w14:solidFill>
                    <w14:schemeClr w14:val="accent1"/>
                  </w14:solidFill>
                </w14:textFill>
              </w:rPr>
              <w:t>《会展实务》单元设计1</w:t>
            </w:r>
          </w:p>
        </w:tc>
      </w:tr>
      <w:tr w14:paraId="75C85CE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6CE8EA2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专业名称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DAFAB03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国际经济与贸易</w:t>
            </w:r>
          </w:p>
        </w:tc>
      </w:tr>
      <w:tr w14:paraId="69519A0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83267DC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课程名称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BD38B14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会展实务</w:t>
            </w:r>
          </w:p>
        </w:tc>
      </w:tr>
      <w:tr w14:paraId="74475AD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CE3647A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课程形态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5FCEF86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☐“A” 类课 ☑“B” 类课（理论 + 实践） ☐“C” 类课</w:t>
            </w:r>
          </w:p>
        </w:tc>
      </w:tr>
      <w:tr w14:paraId="456B288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41FBEC1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教学团队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439AF9E">
            <w:p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负责人：邱兆蕾</w:t>
            </w:r>
          </w:p>
          <w:p w14:paraId="65EFEF37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成 员：</w:t>
            </w:r>
          </w:p>
        </w:tc>
      </w:tr>
      <w:tr w14:paraId="39532BD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251AB91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授课对象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73A5CAF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2024 级国际经济与贸易 1、2 班（已修《英语</w:t>
            </w:r>
            <w:r>
              <w:rPr>
                <w:rFonts w:hint="eastAsia" w:eastAsia="宋体" w:cs="Times New Roman"/>
                <w:color w:val="000000"/>
                <w:sz w:val="24"/>
                <w:szCs w:val="24"/>
                <w:lang w:val="en-US" w:eastAsia="zh-CN"/>
              </w:rPr>
              <w:t>视听说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》《国际贸易实务》《外贸函电》）</w:t>
            </w:r>
          </w:p>
        </w:tc>
      </w:tr>
      <w:tr w14:paraId="10B695F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1D03B41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教学场所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B95C0E0">
            <w:p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hint="eastAsia" w:eastAsia="宋体" w:cs="Times New Roman"/>
                <w:color w:val="000000"/>
                <w:sz w:val="24"/>
                <w:szCs w:val="24"/>
                <w:lang w:val="en-US" w:eastAsia="zh-CN"/>
              </w:rPr>
              <w:t>多媒体教室：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配备多媒体设备、网络环境、展会视频资料、会展中心图片、</w:t>
            </w:r>
          </w:p>
          <w:p w14:paraId="4ACB588E">
            <w:p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线上平台：学习通；</w:t>
            </w:r>
          </w:p>
          <w:p w14:paraId="018EAE6D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配套实训教材：外研社《会展英语（第二版）》</w:t>
            </w:r>
          </w:p>
        </w:tc>
      </w:tr>
      <w:tr w14:paraId="6AE4083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464F7DB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授课模块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4318D1C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模块一：会展业认知与展前筹备</w:t>
            </w:r>
          </w:p>
        </w:tc>
      </w:tr>
      <w:tr w14:paraId="2E098C0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97049F6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学时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799A6AE">
            <w:pPr>
              <w:snapToGrid w:val="0"/>
              <w:spacing w:line="240" w:lineRule="auto"/>
              <w:ind w:firstLine="0" w:firstLineChars="0"/>
            </w:pPr>
            <w:r>
              <w:rPr>
                <w:rFonts w:hint="eastAsia" w:eastAsia="宋体" w:cs="Times New Roman"/>
                <w:color w:val="000000"/>
                <w:sz w:val="24"/>
                <w:szCs w:val="24"/>
                <w:lang w:val="en-US" w:eastAsia="zh-CN"/>
              </w:rPr>
              <w:t>44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课时（10 次课，每次 2 课时，90 分钟）</w:t>
            </w:r>
          </w:p>
        </w:tc>
      </w:tr>
      <w:tr w14:paraId="0149312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BF2EF79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工作任务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BF3A66A">
            <w:pPr>
              <w:numPr>
                <w:ilvl w:val="0"/>
                <w:numId w:val="1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会展业认知与行业调研：会展概念、分类、MICE 内涵、行业发展趋势、国内外知名展会；</w:t>
            </w:r>
          </w:p>
          <w:p w14:paraId="28556D3B">
            <w:pPr>
              <w:numPr>
                <w:ilvl w:val="0"/>
                <w:numId w:val="1"/>
              </w:numPr>
              <w:snapToGrid w:val="0"/>
              <w:spacing w:line="240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会展中心介绍与功能认知：国内外知名会展中心、场馆设施与配套服务；</w:t>
            </w:r>
          </w:p>
          <w:p w14:paraId="7C17C604">
            <w:pPr>
              <w:numPr>
                <w:ilvl w:val="0"/>
                <w:numId w:val="1"/>
              </w:numPr>
              <w:snapToGrid w:val="0"/>
              <w:spacing w:line="240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展会推介与邀请：展会介绍、推广途径、中英文邀请函撰写与回复；</w:t>
            </w:r>
          </w:p>
          <w:p w14:paraId="5DEC4A3C">
            <w:pPr>
              <w:numPr>
                <w:ilvl w:val="0"/>
                <w:numId w:val="1"/>
              </w:numPr>
              <w:snapToGrid w:val="0"/>
              <w:spacing w:line="240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展会咨询与参展选择：参展咨询、展会信息获取、参展决策分析评估；</w:t>
            </w:r>
          </w:p>
          <w:p w14:paraId="5B574C84">
            <w:pPr>
              <w:numPr>
                <w:ilvl w:val="0"/>
                <w:numId w:val="1"/>
              </w:numPr>
              <w:snapToGrid w:val="0"/>
              <w:spacing w:line="240" w:lineRule="auto"/>
              <w:ind w:left="0" w:leftChars="0"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5. 展位预定与参展安排：展位类型辨析、预定流程、展位申请表填写与设计。</w:t>
            </w:r>
          </w:p>
        </w:tc>
      </w:tr>
      <w:tr w14:paraId="54CBCD4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0" w:type="auto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8F8EA96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教学目标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07DA07D">
            <w:pPr>
              <w:numPr>
                <w:ilvl w:val="0"/>
                <w:numId w:val="2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知识目标：</w:t>
            </w:r>
          </w:p>
          <w:p w14:paraId="677E04F5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①系统掌握会展业的基本概念、分类、特点及发展趋势，理解 MICE 产业内涵；</w:t>
            </w:r>
          </w:p>
          <w:p w14:paraId="6695514C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②掌握国内外知名会展中心地理位置、规模、设施及功能；</w:t>
            </w:r>
          </w:p>
          <w:p w14:paraId="03F025B2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③理解展会推介途径，掌握中英文展会邀请函及回复函写作规范；</w:t>
            </w:r>
          </w:p>
          <w:p w14:paraId="5FBBCB26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④熟悉展会咨询渠道，掌握参展决策分析方法；</w:t>
            </w:r>
          </w:p>
          <w:p w14:paraId="612FB2E5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⑤掌握标准展位、特装展位、展览空地的区别，熟悉展位预定流程与申请表核心要素；</w:t>
            </w:r>
          </w:p>
          <w:p w14:paraId="612DB75E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⑥了解参展商手册整体框架及各类订单表格构成。</w:t>
            </w:r>
          </w:p>
          <w:p w14:paraId="4FAC5EC3">
            <w:pPr>
              <w:numPr>
                <w:ilvl w:val="0"/>
                <w:numId w:val="2"/>
              </w:numPr>
              <w:snapToGrid w:val="0"/>
              <w:spacing w:line="240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能力目标：</w:t>
            </w:r>
          </w:p>
          <w:p w14:paraId="2B1012B1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①能够多渠道搜集会展信息，完成会展行业调研报告；</w:t>
            </w:r>
          </w:p>
          <w:p w14:paraId="4D5AE827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②可以使用英语口头、书面介绍会展中心；</w:t>
            </w:r>
          </w:p>
          <w:p w14:paraId="28B6EB3E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③独立撰写中英文展会邀请函，完成接受 / 谢绝回复；</w:t>
            </w:r>
          </w:p>
          <w:p w14:paraId="77A00809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④模拟咨询场景获取参展信息，做出合理参展决策；</w:t>
            </w:r>
          </w:p>
          <w:p w14:paraId="0E47067B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⑤正确填写展位预定申请表，可根据业务需求设计展位申请表；</w:t>
            </w:r>
          </w:p>
          <w:p w14:paraId="13D5F1AD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⑥读懂英文参展商手册，完成基础服务订单翻译与填写。</w:t>
            </w:r>
          </w:p>
          <w:p w14:paraId="323E4BD5">
            <w:pPr>
              <w:numPr>
                <w:ilvl w:val="0"/>
                <w:numId w:val="2"/>
              </w:numPr>
              <w:snapToGrid w:val="0"/>
              <w:spacing w:line="240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素养目标：</w:t>
            </w:r>
          </w:p>
          <w:p w14:paraId="4760E49E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①树立 “会展无小事，细节决定成败” 严谨细致的岗位工作态度；</w:t>
            </w:r>
          </w:p>
          <w:p w14:paraId="2F8AEC35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②恪守诚信服务、客户至上，拒绝虚假宣传与过度承诺；</w:t>
            </w:r>
          </w:p>
          <w:p w14:paraId="7FC9F355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③强化团队协作、跨文化沟通意识，树立 “全程服务、全程责任” 会展职业认同感；</w:t>
            </w:r>
          </w:p>
          <w:p w14:paraId="68BFC3E4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④了解中国会展业发展成就，增强行业自信与民族自豪感。</w:t>
            </w:r>
          </w:p>
        </w:tc>
      </w:tr>
      <w:tr w14:paraId="7472FD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rPr>
          <w:trHeight w:val="0" w:hRule="atLeast"/>
          <w:tblHeader/>
          <w:jc w:val="center"/>
        </w:trPr>
        <w:tc>
          <w:tcPr>
            <w:tcW w:w="1159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67CFB99">
            <w:pPr>
              <w:snapToGrid w:val="0"/>
              <w:spacing w:line="240" w:lineRule="auto"/>
              <w:ind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教学重难点</w:t>
            </w:r>
          </w:p>
        </w:tc>
        <w:tc>
          <w:tcPr>
            <w:tcW w:w="844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2998E55">
            <w:pPr>
              <w:numPr>
                <w:ilvl w:val="0"/>
                <w:numId w:val="3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教学重点：</w:t>
            </w:r>
          </w:p>
          <w:p w14:paraId="01F4CF51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①展会推介核心要素、中英文邀请函格式与写作规范；</w:t>
            </w:r>
          </w:p>
          <w:p w14:paraId="540889AE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②展位预定完整流程、展位申请表字段填写要求；</w:t>
            </w:r>
          </w:p>
          <w:p w14:paraId="57B7F9C6">
            <w:pPr>
              <w:numPr>
                <w:ilvl w:val="0"/>
                <w:numId w:val="0"/>
              </w:numPr>
              <w:snapToGrid w:val="0"/>
              <w:spacing w:line="240" w:lineRule="auto"/>
              <w:ind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③标准展位、特装展位、展览空地区分以及适用业务场景。</w:t>
            </w:r>
          </w:p>
          <w:p w14:paraId="0B66AC21">
            <w:pPr>
              <w:numPr>
                <w:ilvl w:val="0"/>
                <w:numId w:val="3"/>
              </w:numPr>
              <w:snapToGrid w:val="0"/>
              <w:spacing w:line="240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教学难点：</w:t>
            </w:r>
          </w:p>
          <w:p w14:paraId="51F62856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①中英文邀请函语气得体、信息完整，兼顾中外商务文化差异；</w:t>
            </w:r>
          </w:p>
          <w:p w14:paraId="5C985B66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②客户咨询过程抓取关键业务信息，给出针对性参展建议；</w:t>
            </w:r>
          </w:p>
          <w:p w14:paraId="04227588">
            <w:pPr>
              <w:numPr>
                <w:ilvl w:val="0"/>
                <w:numId w:val="0"/>
              </w:numPr>
              <w:snapToGrid w:val="0"/>
              <w:spacing w:line="240" w:lineRule="auto"/>
              <w:ind w:leftChars="0" w:firstLine="0" w:firstLine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③英文参展商手册、各类服务订单表格的阅读理解与实操填写。</w:t>
            </w:r>
          </w:p>
        </w:tc>
      </w:tr>
    </w:tbl>
    <w:p w14:paraId="243F709A">
      <w:pPr>
        <w:pStyle w:val="4"/>
        <w:spacing w:before="240" w:after="120"/>
      </w:pPr>
      <w:r>
        <w:rPr>
          <w:rFonts w:ascii="Times New Roman" w:hAnsi="Times New Roman" w:eastAsia="Times New Roman" w:cs="Times New Roman"/>
          <w:b/>
          <w:bCs/>
          <w:color w:val="000000"/>
          <w:sz w:val="32"/>
          <w:szCs w:val="32"/>
        </w:rPr>
        <w:t>教学流程</w:t>
      </w:r>
    </w:p>
    <w:p w14:paraId="0BBE96F2">
      <w:pPr>
        <w:spacing w:before="0" w:after="120"/>
        <w:jc w:val="left"/>
      </w:pPr>
    </w:p>
    <w:tbl>
      <w:tblPr>
        <w:tblStyle w:val="10"/>
        <w:tblW w:w="94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00" w:type="dxa"/>
          <w:left w:w="108" w:type="dxa"/>
          <w:bottom w:w="200" w:type="dxa"/>
          <w:right w:w="108" w:type="dxa"/>
        </w:tblCellMar>
      </w:tblPr>
      <w:tblGrid>
        <w:gridCol w:w="855"/>
        <w:gridCol w:w="1045"/>
        <w:gridCol w:w="7596"/>
      </w:tblGrid>
      <w:tr w14:paraId="3E339C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F53D504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课前</w:t>
            </w: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2BB58A8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D482CE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 w14:paraId="08AFB08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030FB08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883C6D9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教学形式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7E82337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在线教学（学习平台）</w:t>
            </w:r>
          </w:p>
        </w:tc>
      </w:tr>
      <w:tr w14:paraId="54929CB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A32E6BF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EA6F54A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教学投入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3164D21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微课《会展业概况与 MICE 产业》；</w:t>
            </w:r>
          </w:p>
          <w:p w14:paraId="2F4B81A8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中国会展业发展数据图表；</w:t>
            </w:r>
          </w:p>
          <w:p w14:paraId="50D95DE0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广交会、进博会等国际知名展会案例；空白会展分类思维导图；</w:t>
            </w:r>
          </w:p>
          <w:p w14:paraId="19BC3D90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预习任务单；</w:t>
            </w:r>
          </w:p>
          <w:p w14:paraId="6F3C0C7E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配套《会展英语（第二版）》Unit‑1 阅读素材</w:t>
            </w:r>
          </w:p>
        </w:tc>
      </w:tr>
      <w:tr w14:paraId="460F9BB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689D1B0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D683C14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课程思政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9AB5231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从广交会到进博会，理解会展行业见证中国对外开放伟大历程，建立行业家国认知</w:t>
            </w:r>
          </w:p>
        </w:tc>
      </w:tr>
      <w:tr w14:paraId="287E95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DA2D0B3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08CE65B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赋能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F4CAA9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生成会展业产业链岗位图谱信息图，供学生预习查阅；AI 辅助学生整理展会信息卡片</w:t>
            </w:r>
          </w:p>
        </w:tc>
      </w:tr>
      <w:tr w14:paraId="58933CA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2B47136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9FA1559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教师活动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1882815">
            <w:pPr>
              <w:numPr>
                <w:ilvl w:val="0"/>
                <w:numId w:val="4"/>
              </w:num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学习通发布预习微课视频与学习任务单；</w:t>
            </w:r>
          </w:p>
          <w:p w14:paraId="57367419">
            <w:pPr>
              <w:numPr>
                <w:ilvl w:val="0"/>
                <w:numId w:val="4"/>
              </w:numPr>
              <w:spacing w:line="276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上传空白会展分类思维导图；</w:t>
            </w:r>
          </w:p>
          <w:p w14:paraId="3CE4DF6F">
            <w:pPr>
              <w:numPr>
                <w:ilvl w:val="0"/>
                <w:numId w:val="0"/>
              </w:numPr>
              <w:spacing w:line="276" w:lineRule="auto"/>
              <w:ind w:left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（3）发布线上讨论话题 “你参加过哪些展会？给你留下什么印象？”；（4）发布课前预习小测。</w:t>
            </w:r>
          </w:p>
        </w:tc>
      </w:tr>
      <w:tr w14:paraId="086D123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EF517E7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F7C4FEE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学生活动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2AA92B9">
            <w:pPr>
              <w:numPr>
                <w:ilvl w:val="0"/>
                <w:numId w:val="5"/>
              </w:num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观看微课视频，完成会展业认知课前小测；</w:t>
            </w:r>
          </w:p>
          <w:p w14:paraId="2A7863E3">
            <w:pPr>
              <w:numPr>
                <w:ilvl w:val="0"/>
                <w:numId w:val="5"/>
              </w:numPr>
              <w:spacing w:line="276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预习会展相关概念；</w:t>
            </w:r>
          </w:p>
          <w:p w14:paraId="495FD1AD">
            <w:pPr>
              <w:numPr>
                <w:ilvl w:val="0"/>
                <w:numId w:val="5"/>
              </w:numPr>
              <w:spacing w:line="276" w:lineRule="auto"/>
              <w:ind w:left="0" w:leftChars="0" w:firstLine="0" w:firstLineChars="0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构思绘制会展业分类图初稿；</w:t>
            </w:r>
          </w:p>
          <w:p w14:paraId="2EBBAD5E">
            <w:pPr>
              <w:numPr>
                <w:ilvl w:val="0"/>
                <w:numId w:val="0"/>
              </w:numPr>
              <w:spacing w:line="276" w:lineRule="auto"/>
              <w:ind w:leftChars="0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（4）参与学习</w:t>
            </w:r>
            <w:r>
              <w:rPr>
                <w:rFonts w:hint="eastAsia" w:eastAsia="宋体" w:cs="Times New Roman"/>
                <w:color w:val="000000"/>
                <w:sz w:val="24"/>
                <w:szCs w:val="24"/>
                <w:lang w:val="en-US" w:eastAsia="zh-CN"/>
              </w:rPr>
              <w:t>平台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话题讨论，分享个人观展经历。</w:t>
            </w:r>
          </w:p>
        </w:tc>
      </w:tr>
      <w:tr w14:paraId="7079355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85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4DA1F2A">
            <w:pPr>
              <w:spacing w:line="276" w:lineRule="auto"/>
            </w:pPr>
          </w:p>
        </w:tc>
        <w:tc>
          <w:tcPr>
            <w:tcW w:w="1045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AABCF97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学情分析</w:t>
            </w:r>
          </w:p>
        </w:tc>
        <w:tc>
          <w:tcPr>
            <w:tcW w:w="759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13FEBDF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80% 学生可以说出会展基本概念，60% 学生对 MICE 概念陌生；国贸专业学生缺少会展岗位实操经历，对节事、奖励旅游两类 MICE 细分业务容易混淆。</w:t>
            </w:r>
          </w:p>
        </w:tc>
      </w:tr>
    </w:tbl>
    <w:p w14:paraId="4B4814A4">
      <w:pPr>
        <w:spacing w:before="0" w:after="120"/>
        <w:jc w:val="left"/>
      </w:pPr>
    </w:p>
    <w:tbl>
      <w:tblPr>
        <w:tblStyle w:val="10"/>
        <w:tblW w:w="94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00" w:type="dxa"/>
          <w:left w:w="108" w:type="dxa"/>
          <w:bottom w:w="200" w:type="dxa"/>
          <w:right w:w="108" w:type="dxa"/>
        </w:tblCellMar>
      </w:tblPr>
      <w:tblGrid>
        <w:gridCol w:w="950"/>
        <w:gridCol w:w="1140"/>
        <w:gridCol w:w="7406"/>
      </w:tblGrid>
      <w:tr w14:paraId="09A88F1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F63B2A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课中</w:t>
            </w:r>
          </w:p>
        </w:tc>
        <w:tc>
          <w:tcPr>
            <w:tcW w:w="114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BA6E369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740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17A170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 w14:paraId="4A4945E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2462C97">
            <w:pPr>
              <w:spacing w:line="276" w:lineRule="auto"/>
            </w:pPr>
          </w:p>
        </w:tc>
        <w:tc>
          <w:tcPr>
            <w:tcW w:w="114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5A2CE06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教学形式</w:t>
            </w:r>
          </w:p>
        </w:tc>
        <w:tc>
          <w:tcPr>
            <w:tcW w:w="740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4D3E5A4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理实一体化（讲授 + 案例分析 + 小组讨论，实践教学）</w:t>
            </w:r>
          </w:p>
        </w:tc>
      </w:tr>
      <w:tr w14:paraId="1DAE991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3E72479">
            <w:pPr>
              <w:spacing w:line="276" w:lineRule="auto"/>
            </w:pPr>
          </w:p>
        </w:tc>
        <w:tc>
          <w:tcPr>
            <w:tcW w:w="114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777ACC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教学投入</w:t>
            </w:r>
          </w:p>
        </w:tc>
        <w:tc>
          <w:tcPr>
            <w:tcW w:w="7407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45EF5B9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多媒体课件；</w:t>
            </w:r>
          </w:p>
          <w:p w14:paraId="2F9EE308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广交会、进博会、CES 展会短视频片段；</w:t>
            </w:r>
          </w:p>
          <w:p w14:paraId="2FBF99A7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会展产业链岗位卡片；</w:t>
            </w:r>
          </w:p>
          <w:p w14:paraId="50E1137D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世界知名展会图文资料；</w:t>
            </w:r>
          </w:p>
          <w:p w14:paraId="73DF37FA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《会展英语》Unit‑1 阅读文本</w:t>
            </w:r>
          </w:p>
        </w:tc>
      </w:tr>
    </w:tbl>
    <w:p w14:paraId="27AA727F">
      <w:pPr>
        <w:spacing w:before="0" w:after="120"/>
        <w:jc w:val="left"/>
      </w:pPr>
    </w:p>
    <w:tbl>
      <w:tblPr>
        <w:tblStyle w:val="10"/>
        <w:tblW w:w="934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00" w:type="dxa"/>
          <w:left w:w="108" w:type="dxa"/>
          <w:bottom w:w="200" w:type="dxa"/>
          <w:right w:w="108" w:type="dxa"/>
        </w:tblCellMar>
      </w:tblPr>
      <w:tblGrid>
        <w:gridCol w:w="1308"/>
        <w:gridCol w:w="2150"/>
        <w:gridCol w:w="1682"/>
        <w:gridCol w:w="1402"/>
        <w:gridCol w:w="1122"/>
        <w:gridCol w:w="1682"/>
      </w:tblGrid>
      <w:tr w14:paraId="0FA47233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13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F16C47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教学环节</w:t>
            </w:r>
          </w:p>
        </w:tc>
        <w:tc>
          <w:tcPr>
            <w:tcW w:w="21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31587EA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教师活动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5187E402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学生活动</w:t>
            </w:r>
          </w:p>
        </w:tc>
        <w:tc>
          <w:tcPr>
            <w:tcW w:w="14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0133BB8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课程思政</w:t>
            </w:r>
          </w:p>
        </w:tc>
        <w:tc>
          <w:tcPr>
            <w:tcW w:w="112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07CBDFC0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教学策略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7C022EEB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AI 赋能</w:t>
            </w:r>
          </w:p>
        </w:tc>
      </w:tr>
      <w:tr w14:paraId="7720A2D5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13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4B0AA34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环节一 情景导入（10′）</w:t>
            </w:r>
          </w:p>
        </w:tc>
        <w:tc>
          <w:tcPr>
            <w:tcW w:w="21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CD1323C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播放 “广交会一日” 短视频，提问视频包含哪些会展角色与业务环节，组织小组研讨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B947B24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观看视频，小组讨论梳理会展参与主体与岗位</w:t>
            </w:r>
          </w:p>
        </w:tc>
        <w:tc>
          <w:tcPr>
            <w:tcW w:w="14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86C374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广交会作为外贸窗口，彰显我国对外开放成果</w:t>
            </w:r>
          </w:p>
        </w:tc>
        <w:tc>
          <w:tcPr>
            <w:tcW w:w="112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37B943B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情景导入法、小组讨论法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A39F1AD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调取展会实景图片、短视频素材辅助课堂导入</w:t>
            </w:r>
          </w:p>
        </w:tc>
      </w:tr>
      <w:tr w14:paraId="11268F9E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13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A844E46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环节二 会展概念与分类（20′）</w:t>
            </w:r>
          </w:p>
        </w:tc>
        <w:tc>
          <w:tcPr>
            <w:tcW w:w="21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B5E8A2C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精讲会展定义、四大分类、MICE 各板块内涵，结合实例辨析各类会展活动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2C8C1E6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记录课堂要点，小组完成会展活动分类辨析练习</w:t>
            </w:r>
          </w:p>
        </w:tc>
        <w:tc>
          <w:tcPr>
            <w:tcW w:w="14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864204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引导学生正确认知会展多元业务业态</w:t>
            </w:r>
          </w:p>
        </w:tc>
        <w:tc>
          <w:tcPr>
            <w:tcW w:w="112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C01005D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讲授法、案例辨析法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F8D04BC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生成会展分类对比表格投屏展示</w:t>
            </w:r>
          </w:p>
        </w:tc>
      </w:tr>
      <w:tr w14:paraId="28AD0D1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13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CE28B11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环节三 行业发展（20′）</w:t>
            </w:r>
          </w:p>
        </w:tc>
        <w:tc>
          <w:tcPr>
            <w:tcW w:w="21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3218C49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展示中国会展行业统计数据，梳理国内会展发展历程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2E1343A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记录关键行业数据，小组研讨我国会展快速发展的原因</w:t>
            </w:r>
          </w:p>
        </w:tc>
        <w:tc>
          <w:tcPr>
            <w:tcW w:w="14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ACB7DBA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感悟中国会展从跟跑迈向并跑的跨越式发展</w:t>
            </w:r>
          </w:p>
        </w:tc>
        <w:tc>
          <w:tcPr>
            <w:tcW w:w="112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78C64B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数据案例教学法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8F0E365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整理行业统计图表辅助授课</w:t>
            </w:r>
          </w:p>
        </w:tc>
      </w:tr>
      <w:tr w14:paraId="6DCEFD6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13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F270CCF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环节四 产业链与岗位（15′）</w:t>
            </w:r>
          </w:p>
        </w:tc>
        <w:tc>
          <w:tcPr>
            <w:tcW w:w="21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F651751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解读会展产业链，讲解主办方、参展商、服务商、观众的职能，布置岗位匹配任务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342BC76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完成 “岗位名称‑岗位职责” 匹配练习并展示作答结果</w:t>
            </w:r>
          </w:p>
        </w:tc>
        <w:tc>
          <w:tcPr>
            <w:tcW w:w="14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0E4D47F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树立会展岗位正确职业认知</w:t>
            </w:r>
          </w:p>
        </w:tc>
        <w:tc>
          <w:tcPr>
            <w:tcW w:w="112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3FC1CE9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任务驱动教学法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0943C3C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生成岗位任务卡片下发学生</w:t>
            </w:r>
          </w:p>
        </w:tc>
      </w:tr>
      <w:tr w14:paraId="3EB4CFC6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1308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2178E63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环节五 课堂总结（5′）</w:t>
            </w:r>
          </w:p>
        </w:tc>
        <w:tc>
          <w:tcPr>
            <w:tcW w:w="21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14A867F2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思维导图梳理 “概念‑分类‑发展‑产业链” 四层知识框架，答疑解惑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3C986FE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完善课堂笔记，提出疑问</w:t>
            </w:r>
          </w:p>
        </w:tc>
        <w:tc>
          <w:tcPr>
            <w:tcW w:w="140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E3718BE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强调会展岗位严谨细致的职业素养要求</w:t>
            </w:r>
          </w:p>
        </w:tc>
        <w:tc>
          <w:tcPr>
            <w:tcW w:w="112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24C2B7D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归纳总结法</w:t>
            </w:r>
          </w:p>
        </w:tc>
        <w:tc>
          <w:tcPr>
            <w:tcW w:w="1682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B5D1A53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生成课堂思维导图，课后供学生下载复习</w:t>
            </w:r>
          </w:p>
        </w:tc>
      </w:tr>
    </w:tbl>
    <w:p w14:paraId="36A22743">
      <w:pPr>
        <w:spacing w:before="0" w:after="120"/>
        <w:jc w:val="left"/>
      </w:pPr>
    </w:p>
    <w:tbl>
      <w:tblPr>
        <w:tblStyle w:val="10"/>
        <w:tblW w:w="9496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200" w:type="dxa"/>
          <w:left w:w="108" w:type="dxa"/>
          <w:bottom w:w="200" w:type="dxa"/>
          <w:right w:w="108" w:type="dxa"/>
        </w:tblCellMar>
      </w:tblPr>
      <w:tblGrid>
        <w:gridCol w:w="950"/>
        <w:gridCol w:w="3514"/>
        <w:gridCol w:w="5032"/>
      </w:tblGrid>
      <w:tr w14:paraId="44AB81D9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1C35A219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课后</w:t>
            </w: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22310A1E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项目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shd w:val="clear" w:color="auto" w:fill="CCCCCC"/>
            <w:tcMar>
              <w:top w:w="60" w:type="dxa"/>
              <w:left w:w="60" w:type="dxa"/>
              <w:bottom w:w="60" w:type="dxa"/>
              <w:right w:w="60" w:type="dxa"/>
            </w:tcMar>
            <w:vAlign w:val="center"/>
          </w:tcPr>
          <w:p w14:paraId="45E02A80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b/>
                <w:bCs/>
                <w:color w:val="000000"/>
                <w:sz w:val="24"/>
                <w:szCs w:val="24"/>
              </w:rPr>
              <w:t>内容</w:t>
            </w:r>
          </w:p>
        </w:tc>
      </w:tr>
      <w:tr w14:paraId="5135F64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940DEAF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E1CAAE8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学业评价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B4B1904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课堂参与 30% + 会展分类图绘制 40% + 行业认知小测 30%</w:t>
            </w:r>
          </w:p>
        </w:tc>
      </w:tr>
      <w:tr w14:paraId="4778B1C0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8C64803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2C5F578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教学形式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4E6C31B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在线教学（学习</w:t>
            </w:r>
            <w:r>
              <w:rPr>
                <w:rFonts w:hint="eastAsia" w:eastAsia="宋体" w:cs="Times New Roman"/>
                <w:color w:val="000000"/>
                <w:sz w:val="24"/>
                <w:szCs w:val="24"/>
                <w:lang w:val="en-US" w:eastAsia="zh-CN"/>
              </w:rPr>
              <w:t>平台</w:t>
            </w: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 xml:space="preserve"> + 微信群）</w:t>
            </w:r>
          </w:p>
        </w:tc>
      </w:tr>
      <w:tr w14:paraId="3266183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CCCBD04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621D52D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教学投入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1CF016F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《中国会展业发展报告》节选；本地会展中心官网链接；展会虚假宣传处罚案例材料；拓展阅读：《会展英语（第二版）》Unit1 补充阅读材料</w:t>
            </w:r>
          </w:p>
        </w:tc>
      </w:tr>
      <w:tr w14:paraId="03AC4C71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85C7D58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6592F457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课程思政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B96A0E0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关注中国会展业跨越式发展，厚植学生行业认同感与民族自信</w:t>
            </w:r>
          </w:p>
        </w:tc>
      </w:tr>
      <w:tr w14:paraId="48B7A3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EE4993C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E6A744A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AI 赋能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696A326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学生利用 AI 检索世界前 10 大会展中心，整理信息学习卡片</w:t>
            </w:r>
          </w:p>
        </w:tc>
      </w:tr>
      <w:tr w14:paraId="7D4D5534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DEBFD06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EB72D53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教师活动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9B4E26B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（1）批改会展分类图，录制语音个性化反馈；（2）上传展会虚假宣传处罚案例用于线上研讨；（3）学习通线上答疑。</w:t>
            </w:r>
          </w:p>
        </w:tc>
      </w:tr>
      <w:tr w14:paraId="1D55F48B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F320968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728DD046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学生活动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7D370AC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（1）搜集 1 个国内知名展会基础信息，形成 200 字简介；（2）完成课后小测；（3）修改完善会展业分类图。</w:t>
            </w:r>
          </w:p>
        </w:tc>
      </w:tr>
      <w:tr w14:paraId="134706D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57F308AA">
            <w:pPr>
              <w:spacing w:line="276" w:lineRule="auto"/>
            </w:pP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7FFDD07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课后反思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33D819AF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学生对 MICE 当中节事、奖励旅游概念容易混淆，后续课程需要增加典型案例加以辨析巩固。</w:t>
            </w:r>
          </w:p>
        </w:tc>
      </w:tr>
      <w:tr w14:paraId="30F54957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0A30DB5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</w:t>
            </w:r>
          </w:p>
          <w:p w14:paraId="67DF6507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产出</w:t>
            </w: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1E46008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会展业分类图；课前、课后小测试卷；展会基础信息卡片；《会展英语》Unit1 阅读练习作业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0916875C">
            <w:pPr>
              <w:spacing w:line="276" w:lineRule="auto"/>
            </w:pPr>
          </w:p>
        </w:tc>
      </w:tr>
      <w:tr w14:paraId="06BE7AD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200" w:type="dxa"/>
            <w:left w:w="108" w:type="dxa"/>
            <w:bottom w:w="200" w:type="dxa"/>
            <w:right w:w="108" w:type="dxa"/>
          </w:tblCellMar>
        </w:tblPrEx>
        <w:tc>
          <w:tcPr>
            <w:tcW w:w="950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25727A31">
            <w:pPr>
              <w:spacing w:line="276" w:lineRule="auto"/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教学</w:t>
            </w:r>
          </w:p>
          <w:p w14:paraId="166B69A8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考核</w:t>
            </w:r>
          </w:p>
        </w:tc>
        <w:tc>
          <w:tcPr>
            <w:tcW w:w="3514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4E80E0E">
            <w:pPr>
              <w:spacing w:line="276" w:lineRule="auto"/>
            </w:pPr>
            <w:r>
              <w:rPr>
                <w:rFonts w:ascii="Times New Roman" w:hAnsi="Times New Roman" w:eastAsia="Times New Roman" w:cs="Times New Roman"/>
                <w:color w:val="000000"/>
                <w:sz w:val="24"/>
                <w:szCs w:val="24"/>
              </w:rPr>
              <w:t>（1）过程考核：课堂出勤、线上讨论、会展分类图作业；（2）本课成绩计入单元整体过程性评价。</w:t>
            </w:r>
          </w:p>
        </w:tc>
        <w:tc>
          <w:tcPr>
            <w:tcW w:w="5033" w:type="dxa"/>
            <w:tcBorders>
              <w:top w:val="single" w:color="000000" w:sz="0" w:space="0"/>
              <w:left w:val="single" w:color="000000" w:sz="0" w:space="0"/>
              <w:bottom w:val="single" w:color="000000" w:sz="0" w:space="0"/>
              <w:right w:val="single" w:color="000000" w:sz="0" w:space="0"/>
            </w:tcBorders>
            <w:tcMar>
              <w:top w:w="60" w:type="dxa"/>
              <w:left w:w="60" w:type="dxa"/>
              <w:bottom w:w="60" w:type="dxa"/>
              <w:right w:w="60" w:type="dxa"/>
            </w:tcMar>
            <w:vAlign w:val="top"/>
          </w:tcPr>
          <w:p w14:paraId="4809FE24">
            <w:pPr>
              <w:spacing w:line="276" w:lineRule="auto"/>
            </w:pPr>
          </w:p>
        </w:tc>
      </w:tr>
    </w:tbl>
    <w:p w14:paraId="20E3ACCA">
      <w:bookmarkStart w:id="0" w:name="_GoBack"/>
      <w:bookmarkEnd w:id="0"/>
    </w:p>
    <w:sectPr>
      <w:pgSz w:w="11906" w:h="16838"/>
      <w:pgMar w:top="1080" w:right="1080" w:bottom="1080" w:left="1080" w:header="708" w:footer="708" w:gutter="0"/>
      <w:cols w:space="720" w:num="1"/>
      <w:docGrid w:linePitch="360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mbria Math">
    <w:panose1 w:val="02040503050406030204"/>
    <w:charset w:val="00"/>
    <w:family w:val="auto"/>
    <w:pitch w:val="default"/>
    <w:sig w:usb0="E00006FF" w:usb1="420024FF" w:usb2="02000000" w:usb3="00000000" w:csb0="2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88" w:lineRule="auto"/>
      </w:pPr>
      <w:r>
        <w:separator/>
      </w:r>
    </w:p>
  </w:footnote>
  <w:footnote w:type="continuationSeparator" w:id="1">
    <w:p>
      <w:pPr>
        <w:spacing w:line="288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B3550B0C"/>
    <w:multiLevelType w:val="singleLevel"/>
    <w:tmpl w:val="B3550B0C"/>
    <w:lvl w:ilvl="0" w:tentative="0">
      <w:start w:val="1"/>
      <w:numFmt w:val="decimal"/>
      <w:suff w:val="nothing"/>
      <w:lvlText w:val="（%1）"/>
      <w:lvlJc w:val="left"/>
    </w:lvl>
  </w:abstractNum>
  <w:abstractNum w:abstractNumId="1">
    <w:nsid w:val="D7A7ACF0"/>
    <w:multiLevelType w:val="singleLevel"/>
    <w:tmpl w:val="D7A7ACF0"/>
    <w:lvl w:ilvl="0" w:tentative="0">
      <w:start w:val="1"/>
      <w:numFmt w:val="decimal"/>
      <w:suff w:val="nothing"/>
      <w:lvlText w:val="（%1）"/>
      <w:lvlJc w:val="left"/>
    </w:lvl>
  </w:abstractNum>
  <w:abstractNum w:abstractNumId="2">
    <w:nsid w:val="2E645550"/>
    <w:multiLevelType w:val="singleLevel"/>
    <w:tmpl w:val="2E645550"/>
    <w:lvl w:ilvl="0" w:tentative="0">
      <w:start w:val="1"/>
      <w:numFmt w:val="decimal"/>
      <w:suff w:val="space"/>
      <w:lvlText w:val="%1."/>
      <w:lvlJc w:val="left"/>
    </w:lvl>
  </w:abstractNum>
  <w:abstractNum w:abstractNumId="3">
    <w:nsid w:val="33B520C4"/>
    <w:multiLevelType w:val="singleLevel"/>
    <w:tmpl w:val="33B520C4"/>
    <w:lvl w:ilvl="0" w:tentative="0">
      <w:start w:val="1"/>
      <w:numFmt w:val="decimal"/>
      <w:suff w:val="nothing"/>
      <w:lvlText w:val="（%1）"/>
      <w:lvlJc w:val="left"/>
    </w:lvl>
  </w:abstractNum>
  <w:abstractNum w:abstractNumId="4">
    <w:nsid w:val="7BDD9497"/>
    <w:multiLevelType w:val="singleLevel"/>
    <w:tmpl w:val="7BDD9497"/>
    <w:lvl w:ilvl="0" w:tentative="0">
      <w:start w:val="1"/>
      <w:numFmt w:val="decimal"/>
      <w:suff w:val="nothing"/>
      <w:lvlText w:val="（%1）"/>
      <w:lvlJc w:val="left"/>
    </w:lvl>
  </w:abstractNum>
  <w:num w:numId="1">
    <w:abstractNumId w:val="2"/>
  </w:num>
  <w:num w:numId="2">
    <w:abstractNumId w:val="0"/>
  </w:num>
  <w:num w:numId="3">
    <w:abstractNumId w:val="4"/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isplayBackgroundShape w:val="1"/>
  <w:documentProtection w:enforcement="0"/>
  <w:footnotePr>
    <w:footnote w:id="0"/>
    <w:footnote w:id="1"/>
  </w:footnotePr>
  <w:endnotePr>
    <w:endnote w:id="0"/>
    <w:endnote w:id="1"/>
  </w:endnotePr>
  <w:compat>
    <w:useFELayout/>
    <w:compatSetting w:name="compatibilityMode" w:uri="http://schemas.microsoft.com/office/word" w:val="15"/>
  </w:compat>
  <w:rsids>
    <w:rsidRoot w:val="00000000"/>
    <w:rsid w:val="026223A4"/>
    <w:rsid w:val="04EA608F"/>
    <w:rsid w:val="0CA352C8"/>
    <w:rsid w:val="13313DF9"/>
    <w:rsid w:val="1DE303E5"/>
    <w:rsid w:val="20AA51EA"/>
    <w:rsid w:val="22F17100"/>
    <w:rsid w:val="26D60AE7"/>
    <w:rsid w:val="34FF56AD"/>
    <w:rsid w:val="39F278E4"/>
    <w:rsid w:val="3D664582"/>
    <w:rsid w:val="3F626F64"/>
    <w:rsid w:val="501E0C85"/>
    <w:rsid w:val="567C6706"/>
    <w:rsid w:val="5B0B62AA"/>
    <w:rsid w:val="61E6537B"/>
    <w:rsid w:val="697F233D"/>
    <w:rsid w:val="6FB70357"/>
    <w:rsid w:val="79B7167F"/>
    <w:rsid w:val="7A3A405E"/>
    <w:rsid w:val="7C9B7036"/>
    <w:rsid w:val="7D89333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unhideWhenUsed="0" w:uiPriority="0" w:semiHidden="0" w:name="Normal"/>
    <w:lsdException w:unhideWhenUsed="0" w:uiPriority="0" w:semiHidden="0" w:name="heading 1"/>
    <w:lsdException w:unhideWhenUsed="0" w:uiPriority="0" w:semiHidden="0" w:name="heading 2"/>
    <w:lsdException w:qFormat="1" w:unhideWhenUsed="0" w:uiPriority="0" w:semiHidden="0" w:name="heading 3"/>
    <w:lsdException w:unhideWhenUsed="0" w:uiPriority="0" w:semiHidden="0" w:name="heading 4"/>
    <w:lsdException w:unhideWhenUsed="0" w:uiPriority="0" w:semiHidden="0" w:name="heading 5"/>
    <w:lsdException w:qFormat="1" w:unhideWhenUsed="0" w:uiPriority="0" w:semiHidden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iPriority="99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iPriority="99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iPriority="99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0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uiPriority w:val="0"/>
    <w:pPr>
      <w:spacing w:line="288" w:lineRule="auto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paragraph" w:styleId="2">
    <w:name w:val="heading 1"/>
    <w:next w:val="1"/>
    <w:uiPriority w:val="0"/>
    <w:pPr>
      <w:spacing w:before="480" w:after="120"/>
    </w:pPr>
    <w:rPr>
      <w:rFonts w:ascii="Times New Roman" w:hAnsi="Times New Roman" w:eastAsia="Times New Roman" w:cs="Times New Roman"/>
      <w:b/>
      <w:bCs/>
      <w:color w:val="000000"/>
      <w:sz w:val="40"/>
      <w:szCs w:val="40"/>
    </w:rPr>
  </w:style>
  <w:style w:type="paragraph" w:styleId="3">
    <w:name w:val="heading 2"/>
    <w:next w:val="1"/>
    <w:uiPriority w:val="0"/>
    <w:pPr>
      <w:spacing w:before="360" w:after="120"/>
    </w:pPr>
    <w:rPr>
      <w:rFonts w:ascii="Times New Roman" w:hAnsi="Times New Roman" w:eastAsia="Times New Roman" w:cs="Times New Roman"/>
      <w:b/>
      <w:bCs/>
      <w:color w:val="000000"/>
      <w:sz w:val="36"/>
      <w:szCs w:val="36"/>
    </w:rPr>
  </w:style>
  <w:style w:type="paragraph" w:styleId="4">
    <w:name w:val="heading 3"/>
    <w:next w:val="1"/>
    <w:qFormat/>
    <w:uiPriority w:val="0"/>
    <w:pPr>
      <w:spacing w:before="240" w:after="120"/>
    </w:pPr>
    <w:rPr>
      <w:rFonts w:ascii="Times New Roman" w:hAnsi="Times New Roman" w:eastAsia="Times New Roman" w:cs="Times New Roman"/>
      <w:b/>
      <w:bCs/>
      <w:color w:val="000000"/>
      <w:sz w:val="32"/>
      <w:szCs w:val="32"/>
    </w:rPr>
  </w:style>
  <w:style w:type="paragraph" w:styleId="5">
    <w:name w:val="heading 4"/>
    <w:next w:val="1"/>
    <w:uiPriority w:val="0"/>
    <w:pPr>
      <w:spacing w:before="240" w:after="120"/>
    </w:pPr>
    <w:rPr>
      <w:rFonts w:ascii="Times New Roman" w:hAnsi="Times New Roman" w:eastAsia="Times New Roman" w:cs="Times New Roman"/>
      <w:b/>
      <w:bCs/>
      <w:color w:val="000000"/>
      <w:sz w:val="28"/>
      <w:szCs w:val="28"/>
    </w:rPr>
  </w:style>
  <w:style w:type="paragraph" w:styleId="6">
    <w:name w:val="heading 5"/>
    <w:next w:val="1"/>
    <w:uiPriority w:val="0"/>
    <w:pPr>
      <w:spacing w:before="240" w:after="120"/>
    </w:pPr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paragraph" w:styleId="7">
    <w:name w:val="heading 6"/>
    <w:next w:val="1"/>
    <w:qFormat/>
    <w:uiPriority w:val="0"/>
    <w:pPr>
      <w:spacing w:before="240" w:after="120"/>
    </w:pPr>
    <w:rPr>
      <w:rFonts w:ascii="Times New Roman" w:hAnsi="Times New Roman" w:eastAsia="Times New Roman" w:cs="Times New Roman"/>
      <w:b/>
      <w:bCs/>
      <w:color w:val="000000"/>
      <w:sz w:val="24"/>
      <w:szCs w:val="24"/>
    </w:rPr>
  </w:style>
  <w:style w:type="character" w:default="1" w:styleId="11">
    <w:name w:val="Default Paragraph Font"/>
    <w:semiHidden/>
    <w:qFormat/>
    <w:uiPriority w:val="0"/>
  </w:style>
  <w:style w:type="table" w:default="1" w:styleId="10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8">
    <w:name w:val="footnote text"/>
    <w:basedOn w:val="1"/>
    <w:link w:val="15"/>
    <w:semiHidden/>
    <w:unhideWhenUsed/>
    <w:uiPriority w:val="99"/>
    <w:pPr>
      <w:spacing w:after="0" w:line="240" w:lineRule="auto"/>
    </w:pPr>
    <w:rPr>
      <w:sz w:val="20"/>
      <w:szCs w:val="20"/>
    </w:rPr>
  </w:style>
  <w:style w:type="paragraph" w:styleId="9">
    <w:name w:val="Title"/>
    <w:basedOn w:val="1"/>
    <w:next w:val="1"/>
    <w:qFormat/>
    <w:uiPriority w:val="0"/>
    <w:rPr>
      <w:sz w:val="56"/>
      <w:szCs w:val="56"/>
    </w:rPr>
  </w:style>
  <w:style w:type="character" w:styleId="12">
    <w:name w:val="Hyperlink"/>
    <w:unhideWhenUsed/>
    <w:uiPriority w:val="99"/>
    <w:rPr>
      <w:color w:val="0563C1"/>
      <w:u w:val="single"/>
    </w:rPr>
  </w:style>
  <w:style w:type="character" w:styleId="13">
    <w:name w:val="footnote reference"/>
    <w:semiHidden/>
    <w:unhideWhenUsed/>
    <w:uiPriority w:val="99"/>
    <w:rPr>
      <w:vertAlign w:val="superscript"/>
    </w:rPr>
  </w:style>
  <w:style w:type="paragraph" w:styleId="14">
    <w:name w:val="List Paragraph"/>
    <w:qFormat/>
    <w:uiPriority w:val="0"/>
    <w:pPr>
      <w:spacing w:line="288" w:lineRule="auto"/>
      <w:ind w:left="720"/>
    </w:pPr>
    <w:rPr>
      <w:rFonts w:ascii="Times New Roman" w:hAnsi="Times New Roman" w:eastAsia="Times New Roman" w:cs="Times New Roman"/>
      <w:color w:val="000000"/>
      <w:sz w:val="24"/>
      <w:szCs w:val="24"/>
    </w:rPr>
  </w:style>
  <w:style w:type="character" w:customStyle="1" w:styleId="15">
    <w:name w:val="Footnote Text Char"/>
    <w:link w:val="8"/>
    <w:semiHidden/>
    <w:unhideWhenUsed/>
    <w:qFormat/>
    <w:uiPriority w:val="99"/>
    <w:rPr>
      <w:sz w:val="20"/>
      <w:szCs w:val="20"/>
    </w:rPr>
  </w:style>
  <w:style w:type="paragraph" w:customStyle="1" w:styleId="16">
    <w:name w:val="Block Math"/>
    <w:basedOn w:val="1"/>
    <w:next w:val="1"/>
    <w:qFormat/>
    <w:uiPriority w:val="0"/>
    <w:pPr>
      <w:spacing w:before="300" w:after="300" w:line="360" w:lineRule="auto"/>
      <w:jc w:val="center"/>
    </w:pPr>
    <w:rPr>
      <w:rFonts w:ascii="Cambria Math" w:hAnsi="Cambria Math" w:eastAsia="Cambria Math" w:cs="Cambria Math"/>
      <w:color w:val="000000"/>
      <w:sz w:val="24"/>
      <w:szCs w:val="24"/>
    </w:rPr>
  </w:style>
  <w:style w:type="paragraph" w:customStyle="1" w:styleId="17">
    <w:name w:val="Inline Math"/>
    <w:basedOn w:val="1"/>
    <w:next w:val="1"/>
    <w:qFormat/>
    <w:uiPriority w:val="0"/>
    <w:rPr>
      <w:rFonts w:ascii="Cambria Math" w:hAnsi="Cambria Math" w:eastAsia="Cambria Math" w:cs="Cambria Math"/>
      <w:color w:val="000000"/>
      <w:sz w:val="36"/>
      <w:szCs w:val="36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Pages>4</Pages>
  <Words>1626</Words>
  <Characters>1680</Characters>
  <TotalTime>4</TotalTime>
  <ScaleCrop>false</ScaleCrop>
  <LinksUpToDate>false</LinksUpToDate>
  <CharactersWithSpaces>1728</CharactersWithSpaces>
  <Application>WPS Office_12.1.0.28043_F1E327BC-269C-435d-A152-05C5408002CA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2026-08-29T04:09:00Z</dcterms:created>
  <dc:creator>Un-named</dc:creator>
  <cp:lastModifiedBy>Rose Qiu</cp:lastModifiedBy>
  <dcterms:modified xsi:type="dcterms:W3CDTF">2026-08-29T04:46:38Z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TemplateDocerSaveRecord">
    <vt:lpwstr>eyJoZGlkIjoiM2QyMDJlNWJhMWM4YmZjMDJmYTEwZDc3NjczNzY5ZDYiLCJ1c2VySWQiOiIyMzc5ODU3MDcifQ==</vt:lpwstr>
  </property>
  <property fmtid="{D5CDD505-2E9C-101B-9397-08002B2CF9AE}" pid="3" name="KSOProductBuildVer">
    <vt:lpwstr>2052-12.1.0.28043</vt:lpwstr>
  </property>
  <property fmtid="{D5CDD505-2E9C-101B-9397-08002B2CF9AE}" pid="4" name="ICV">
    <vt:lpwstr>BFF7EAC7E558457AA5317FAEE15C3C00_13</vt:lpwstr>
  </property>
</Properties>
</file>