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9FFE8D">
      <w:pPr>
        <w:spacing w:after="120"/>
        <w:jc w:val="center"/>
        <w:rPr>
          <w:rFonts w:hint="default" w:eastAsia="宋体"/>
          <w:sz w:val="36"/>
          <w:szCs w:val="36"/>
          <w:lang w:val="en-US" w:eastAsia="zh-CN"/>
        </w:rPr>
      </w:pPr>
      <w:r>
        <w:rPr>
          <w:sz w:val="36"/>
          <w:szCs w:val="36"/>
        </w:rPr>
        <w:t>《会展实务》</w:t>
      </w:r>
      <w:r>
        <w:rPr>
          <w:rFonts w:hint="eastAsia"/>
          <w:sz w:val="36"/>
          <w:szCs w:val="36"/>
          <w:lang w:val="en-US" w:eastAsia="zh-CN"/>
        </w:rPr>
        <w:t>单元设计4</w:t>
      </w:r>
    </w:p>
    <w:p w14:paraId="47BCCF98">
      <w:pPr>
        <w:spacing w:after="12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展位设计搭建与附加服务申请</w:t>
      </w:r>
    </w:p>
    <w:p w14:paraId="23FB5BCC">
      <w:pPr>
        <w:spacing w:after="120"/>
        <w:jc w:val="center"/>
        <w:rPr>
          <w:b/>
          <w:bCs/>
          <w:color w:val="4F81BD" w:themeColor="accent1"/>
          <w:sz w:val="36"/>
          <w:szCs w:val="36"/>
          <w14:textFill>
            <w14:solidFill>
              <w14:schemeClr w14:val="accent1"/>
            </w14:solidFill>
          </w14:textFill>
        </w:rPr>
      </w:pPr>
      <w:r>
        <w:rPr>
          <w:b/>
          <w:bCs/>
          <w:color w:val="4F81BD" w:themeColor="accent1"/>
          <w:sz w:val="36"/>
          <w:szCs w:val="36"/>
          <w14:textFill>
            <w14:solidFill>
              <w14:schemeClr w14:val="accent1"/>
            </w14:solidFill>
          </w14:textFill>
        </w:rPr>
        <w:t>Unit4 Booth Design and Installation</w:t>
      </w:r>
    </w:p>
    <w:p w14:paraId="28F941FE">
      <w:pPr>
        <w:pBdr>
          <w:left w:val="single" w:color="BFBFBF" w:sz="12" w:space="200"/>
        </w:pBdr>
        <w:spacing w:after="120"/>
        <w:ind w:left="300"/>
        <w:jc w:val="left"/>
      </w:pPr>
      <w:r>
        <w:t>课程基础信息
</w:t>
      </w:r>
      <w:r>
        <w:br w:type="textWrapping"/>
      </w:r>
      <w:r>
        <w:t>专业名称：国际经济与贸易
</w:t>
      </w:r>
      <w:r>
        <w:br w:type="textWrapping"/>
      </w:r>
      <w:r>
        <w:t>课程名称：会展实务
</w:t>
      </w:r>
      <w:r>
        <w:br w:type="textWrapping"/>
      </w:r>
      <w:r>
        <w:t>课程形态：☐“A”类课 ☑“B”类课（理论+实践） ☐“C”类课
</w:t>
      </w:r>
      <w:r>
        <w:br w:type="textWrapping"/>
      </w:r>
      <w:r>
        <w:t>教学团队：负责人：邱兆蕾；成员：赵妍红、刘学飞
</w:t>
      </w:r>
      <w:r>
        <w:br w:type="textWrapping"/>
      </w:r>
      <w:r>
        <w:t>授课对象：2024级国际经济与贸易1、2班
</w:t>
      </w:r>
      <w:r>
        <w:br w:type="textWrapping"/>
      </w:r>
      <w:r>
        <w:t>教学场所：会展仿真实训室；多媒体设备、网络；学习通线上平台；配套资源：外研社《会展英语》Unit4课件；展位设施图文素材；展位搭建管理规范文本；参展商附加服务订单（Exhibitor Order Form）样本
</w:t>
      </w:r>
      <w:r>
        <w:br w:type="textWrapping"/>
      </w:r>
      <w:r>
        <w:t>授课模块：模块一 会展业认知与展前筹备
</w:t>
      </w:r>
      <w:r>
        <w:br w:type="textWrapping"/>
      </w:r>
      <w:r>
        <w:t>学时：2课时
</w:t>
      </w:r>
      <w:r>
        <w:br w:type="textWrapping"/>
      </w:r>
      <w:r>
        <w:t>工作任务：展位设计搭建与附加服务申请；掌握展位常用配套设施；读懂展位搭建管理规章制度；读懂并填写参展商附加服务订单；模拟搭建服务商业务沟通情景。</w:t>
      </w:r>
    </w:p>
    <w:p w14:paraId="4600F0FB">
      <w:pPr>
        <w:spacing w:after="200"/>
      </w:pPr>
      <w:r>
        <w:t xml:space="preserve"> </w:t>
      </w:r>
    </w:p>
    <w:p w14:paraId="7D4A36BC">
      <w:pPr>
        <w:spacing w:after="120"/>
        <w:jc w:val="left"/>
      </w:pPr>
      <w:r>
        <w:rPr>
          <w:b/>
          <w:bCs/>
        </w:rPr>
        <w:t>教学目标</w:t>
      </w:r>
      <w:r>
        <w:t>
</w:t>
      </w:r>
      <w:r>
        <w:br w:type="textWrapping"/>
      </w:r>
      <w:r>
        <w:t>（1）知识目标：</w:t>
      </w:r>
    </w:p>
    <w:p w14:paraId="63A9F5F9">
      <w:pPr>
        <w:spacing w:after="120"/>
        <w:jc w:val="left"/>
      </w:pPr>
      <w:r>
        <w:t>①识记展会展位常用配套设施英文词汇；</w:t>
      </w:r>
    </w:p>
    <w:p w14:paraId="617D1C9D">
      <w:pPr>
        <w:spacing w:after="120"/>
        <w:jc w:val="left"/>
      </w:pPr>
      <w:r>
        <w:t>②掌握展位搭建主要管理规定：资质要求、材料防火、限高、天花板、墙体装饰、场馆禁令；</w:t>
      </w:r>
    </w:p>
    <w:p w14:paraId="068C2D35">
      <w:pPr>
        <w:spacing w:after="120"/>
        <w:jc w:val="left"/>
      </w:pPr>
      <w:r>
        <w:t>③掌握Exhibitor Order Form附加服务订单的核心栏目、截止时间、逾期附加费规则；④熟悉组展方、参展商、搭建承包商三方业务关系。
</w:t>
      </w:r>
      <w:r>
        <w:br w:type="textWrapping"/>
      </w:r>
      <w:r>
        <w:t>（2）能力目标：</w:t>
      </w:r>
    </w:p>
    <w:p w14:paraId="5630175C">
      <w:pPr>
        <w:spacing w:after="120"/>
        <w:jc w:val="left"/>
      </w:pPr>
      <w:r>
        <w:t>①能够识别各类展位配套设施，读懂搭建管理条文；</w:t>
      </w:r>
    </w:p>
    <w:p w14:paraId="5C9D894F">
      <w:pPr>
        <w:spacing w:after="120"/>
        <w:jc w:val="left"/>
      </w:pPr>
      <w:r>
        <w:t>②能够读懂英文附加服务订单，根据企业参展需求完成表单填写；</w:t>
      </w:r>
    </w:p>
    <w:p w14:paraId="1207A162">
      <w:pPr>
        <w:spacing w:after="120"/>
        <w:jc w:val="left"/>
      </w:pPr>
      <w:r>
        <w:t>③能够角色扮演：与搭建服务商沟通标准展位、光地展位搭建业务；</w:t>
      </w:r>
    </w:p>
    <w:p w14:paraId="181D27F8">
      <w:pPr>
        <w:spacing w:after="120"/>
        <w:jc w:val="left"/>
      </w:pPr>
      <w:r>
        <w:t>④识别订单填写、搭建方案中常见违规问题。
</w:t>
      </w:r>
      <w:r>
        <w:br w:type="textWrapping"/>
      </w:r>
      <w:r>
        <w:t>（3）素养目标：</w:t>
      </w:r>
    </w:p>
    <w:p w14:paraId="6E883428">
      <w:pPr>
        <w:spacing w:after="120"/>
        <w:jc w:val="left"/>
      </w:pPr>
      <w:r>
        <w:t>①树立安全生产意识，展位搭建严格遵守场馆安全、消防规章制度；</w:t>
      </w:r>
    </w:p>
    <w:p w14:paraId="21796AF5">
      <w:pPr>
        <w:spacing w:after="120"/>
        <w:jc w:val="left"/>
      </w:pPr>
      <w:r>
        <w:t>②培养商务单证严谨习惯，重视订单截止日期与逾期附加费风险；</w:t>
      </w:r>
    </w:p>
    <w:p w14:paraId="29FBDE18">
      <w:pPr>
        <w:spacing w:after="120"/>
        <w:jc w:val="left"/>
      </w:pPr>
      <w:r>
        <w:t>③增强涉外参展契约意识，境外展会服从主办方各项管理规定。</w:t>
      </w:r>
    </w:p>
    <w:p w14:paraId="006FF822">
      <w:pPr>
        <w:spacing w:after="200"/>
      </w:pPr>
      <w:r>
        <w:t xml:space="preserve"> </w:t>
      </w:r>
    </w:p>
    <w:p w14:paraId="277AD9C1">
      <w:pPr>
        <w:spacing w:after="120"/>
        <w:jc w:val="left"/>
      </w:pPr>
      <w:r>
        <w:rPr>
          <w:b/>
          <w:bCs/>
        </w:rPr>
        <w:t>教学重难点</w:t>
      </w:r>
      <w:r>
        <w:t>
</w:t>
      </w:r>
      <w:r>
        <w:br w:type="textWrapping"/>
      </w:r>
      <w:r>
        <w:t>（1）教学重点：</w:t>
      </w:r>
    </w:p>
    <w:p w14:paraId="01157489">
      <w:pPr>
        <w:spacing w:after="120"/>
        <w:jc w:val="left"/>
      </w:pPr>
      <w:r>
        <w:t>①展位搭建核心管理规章制度；</w:t>
      </w:r>
    </w:p>
    <w:p w14:paraId="28C4AF0A">
      <w:pPr>
        <w:spacing w:after="120"/>
        <w:jc w:val="left"/>
      </w:pPr>
      <w:r>
        <w:t>②附加服务订单Exhibitor Order Form栏目解读与规范填写；</w:t>
      </w:r>
    </w:p>
    <w:p w14:paraId="5D0518E8">
      <w:pPr>
        <w:spacing w:after="120"/>
        <w:jc w:val="left"/>
      </w:pPr>
      <w:r>
        <w:t>③展位配套设施选型。
</w:t>
      </w:r>
      <w:r>
        <w:br w:type="textWrapping"/>
      </w:r>
      <w:r>
        <w:t>（2）教学难点：</w:t>
      </w:r>
    </w:p>
    <w:p w14:paraId="6DDE77C3">
      <w:pPr>
        <w:spacing w:after="120"/>
        <w:jc w:val="left"/>
      </w:pPr>
      <w:r>
        <w:t>①读懂英文搭建规范，识别展位设计方案的违规点；</w:t>
      </w:r>
    </w:p>
    <w:p w14:paraId="52A72D76">
      <w:pPr>
        <w:spacing w:after="120"/>
        <w:jc w:val="left"/>
      </w:pPr>
      <w:bookmarkStart w:id="0" w:name="_GoBack"/>
      <w:bookmarkEnd w:id="0"/>
      <w:r>
        <w:t>②结合参展企业需求，合理选择配套设施、核算附加服务费用（含逾期附加费）；③光地展位搭建业务沟通角色扮演。</w:t>
      </w:r>
    </w:p>
    <w:p w14:paraId="55476677">
      <w:pPr>
        <w:spacing w:after="200"/>
      </w:pPr>
      <w:r>
        <w:t xml:space="preserve"> </w:t>
      </w:r>
    </w:p>
    <w:p w14:paraId="3BC5490F">
      <w:pPr>
        <w:pStyle w:val="3"/>
        <w:spacing w:after="200"/>
        <w:jc w:val="left"/>
      </w:pPr>
      <w:r>
        <w:t>教学流程</w:t>
      </w:r>
    </w:p>
    <w:p w14:paraId="06450A3B">
      <w:pPr>
        <w:pStyle w:val="4"/>
        <w:spacing w:after="200"/>
        <w:jc w:val="left"/>
      </w:pPr>
      <w:r>
        <w:t>课前</w:t>
      </w:r>
    </w:p>
    <w:p w14:paraId="16C43C84">
      <w:pPr>
        <w:spacing w:after="240"/>
      </w:pPr>
      <w:r>
        <w:t xml:space="preserve"> 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1745"/>
        <w:gridCol w:w="7271"/>
      </w:tblGrid>
      <w:tr w14:paraId="6DB62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rPr>
          <w:tblHeader/>
        </w:trPr>
        <w:tc>
          <w:p w14:paraId="7B615898">
            <w:pPr>
              <w:jc w:val="left"/>
            </w:pPr>
            <w:r>
              <w:rPr>
                <w:b/>
                <w:bCs/>
              </w:rPr>
              <w:t>项目</w:t>
            </w:r>
          </w:p>
        </w:tc>
        <w:tc>
          <w:p w14:paraId="35AFCB7B">
            <w:pPr>
              <w:jc w:val="left"/>
            </w:pPr>
            <w:r>
              <w:rPr>
                <w:b/>
                <w:bCs/>
              </w:rPr>
              <w:t>内容</w:t>
            </w:r>
          </w:p>
        </w:tc>
      </w:tr>
      <w:tr w14:paraId="5C789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3E3379C0">
            <w:pPr>
              <w:jc w:val="left"/>
            </w:pPr>
            <w:r>
              <w:t>教学形式</w:t>
            </w:r>
          </w:p>
        </w:tc>
        <w:tc>
          <w:p w14:paraId="07982959">
            <w:pPr>
              <w:jc w:val="left"/>
            </w:pPr>
            <w:r>
              <w:t>在线教学（学习通平台）</w:t>
            </w:r>
          </w:p>
        </w:tc>
      </w:tr>
      <w:tr w14:paraId="15EB99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4888966D">
            <w:pPr>
              <w:jc w:val="left"/>
            </w:pPr>
            <w:r>
              <w:t>教学投入</w:t>
            </w:r>
          </w:p>
        </w:tc>
        <w:tc>
          <w:p w14:paraId="7A76ACC1">
            <w:pPr>
              <w:jc w:val="left"/>
            </w:pPr>
            <w:r>
              <w:t>微课《展位搭建与附加服务》；《会展英语》Unit4 Lead‑in词汇材料；展位设施图片集；展位搭建管理规范节选；附加服务订单样本；预习任务单</w:t>
            </w:r>
          </w:p>
        </w:tc>
      </w:tr>
      <w:tr w14:paraId="3514C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353DFD41">
            <w:pPr>
              <w:jc w:val="left"/>
            </w:pPr>
            <w:r>
              <w:t>课程思政</w:t>
            </w:r>
          </w:p>
        </w:tc>
        <w:tc>
          <w:p w14:paraId="3A88BEAE">
            <w:pPr>
              <w:jc w:val="left"/>
            </w:pPr>
            <w:r>
              <w:t>展位搭建必须严守消防与安全规范，坚持安全生产底线，树立合规办展参展职业意识。</w:t>
            </w:r>
          </w:p>
        </w:tc>
      </w:tr>
      <w:tr w14:paraId="6D5DB2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028D8D5D">
            <w:pPr>
              <w:jc w:val="left"/>
            </w:pPr>
            <w:r>
              <w:t>AI赋能</w:t>
            </w:r>
          </w:p>
        </w:tc>
        <w:tc>
          <w:p w14:paraId="14F7D2E6">
            <w:pPr>
              <w:jc w:val="left"/>
            </w:pPr>
            <w:r>
              <w:t>AI生成展位配套设施中英对照表；AI生成搭建规范易错点清单。</w:t>
            </w:r>
          </w:p>
        </w:tc>
      </w:tr>
      <w:tr w14:paraId="5F6C8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4A4BBD16">
            <w:pPr>
              <w:jc w:val="left"/>
            </w:pPr>
            <w:r>
              <w:t>教师活动</w:t>
            </w:r>
          </w:p>
        </w:tc>
        <w:tc>
          <w:p w14:paraId="1AA4E8A6">
            <w:pPr>
              <w:jc w:val="left"/>
            </w:pPr>
            <w:r>
              <w:t>（1）学习通发布预习微课、Unit4预习阅读素材；（2）上传搭建规范、附加服务订单样本；（3）布置预习任务，识别表单栏目；（4）发布课前小测。</w:t>
            </w:r>
          </w:p>
        </w:tc>
      </w:tr>
      <w:tr w14:paraId="71F88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72EDA1D8">
            <w:pPr>
              <w:jc w:val="left"/>
            </w:pPr>
            <w:r>
              <w:t>学生活动</w:t>
            </w:r>
          </w:p>
        </w:tc>
        <w:tc>
          <w:p w14:paraId="1CF4DA5C">
            <w:pPr>
              <w:jc w:val="left"/>
            </w:pPr>
            <w:r>
              <w:t>（1）识记展位设施英文专业词汇；（2）浏览搭建规章制度、附加服务订单样本，标记疑难栏目；（3）完成课前小测。</w:t>
            </w:r>
          </w:p>
        </w:tc>
      </w:tr>
      <w:tr w14:paraId="4E0736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2425BC81">
            <w:pPr>
              <w:jc w:val="left"/>
            </w:pPr>
            <w:r>
              <w:t>学情分析</w:t>
            </w:r>
          </w:p>
        </w:tc>
        <w:tc>
          <w:p w14:paraId="67AB8968">
            <w:pPr>
              <w:jc w:val="left"/>
            </w:pPr>
            <w:r>
              <w:t>学生对展位实物设施有直观印象，但对展会场馆官方搭建管理规则陌生；容易忽略附加服务订单截止时间、逾期附加费；对组展方、参展商、搭建承包商三方权责关系理解模糊。</w:t>
            </w:r>
          </w:p>
        </w:tc>
      </w:tr>
    </w:tbl>
    <w:p w14:paraId="021251C2">
      <w:pPr>
        <w:spacing w:before="240"/>
      </w:pPr>
      <w:r>
        <w:t xml:space="preserve"> </w:t>
      </w:r>
    </w:p>
    <w:p w14:paraId="50896D8C">
      <w:pPr>
        <w:spacing w:after="200"/>
      </w:pPr>
      <w:r>
        <w:t xml:space="preserve"> </w:t>
      </w:r>
    </w:p>
    <w:p w14:paraId="09D78D26">
      <w:pPr>
        <w:pStyle w:val="4"/>
        <w:spacing w:after="200"/>
        <w:jc w:val="left"/>
      </w:pPr>
      <w:r>
        <w:t>课中</w:t>
      </w:r>
    </w:p>
    <w:p w14:paraId="1149E114">
      <w:pPr>
        <w:spacing w:after="240"/>
      </w:pPr>
      <w:r>
        <w:t xml:space="preserve"> 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1866"/>
        <w:gridCol w:w="7150"/>
      </w:tblGrid>
      <w:tr w14:paraId="62335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rPr>
          <w:tblHeader/>
        </w:trPr>
        <w:tc>
          <w:p w14:paraId="271AD077">
            <w:pPr>
              <w:jc w:val="left"/>
            </w:pPr>
            <w:r>
              <w:rPr>
                <w:b/>
                <w:bCs/>
              </w:rPr>
              <w:t>项目</w:t>
            </w:r>
          </w:p>
        </w:tc>
        <w:tc>
          <w:p w14:paraId="50402A3D">
            <w:pPr>
              <w:jc w:val="left"/>
            </w:pPr>
            <w:r>
              <w:rPr>
                <w:b/>
                <w:bCs/>
              </w:rPr>
              <w:t>内容</w:t>
            </w:r>
          </w:p>
        </w:tc>
      </w:tr>
      <w:tr w14:paraId="7EA76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34D75E58">
            <w:pPr>
              <w:jc w:val="left"/>
            </w:pPr>
            <w:r>
              <w:t>教学形式</w:t>
            </w:r>
          </w:p>
        </w:tc>
        <w:tc>
          <w:p w14:paraId="69FFBEFD">
            <w:pPr>
              <w:jc w:val="left"/>
            </w:pPr>
            <w:r>
              <w:t>实践教学（案例解析+表单实操+情景角色扮演）</w:t>
            </w:r>
          </w:p>
        </w:tc>
      </w:tr>
      <w:tr w14:paraId="4167E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0D4C2F17">
            <w:pPr>
              <w:jc w:val="left"/>
            </w:pPr>
            <w:r>
              <w:t>教学投入</w:t>
            </w:r>
          </w:p>
        </w:tc>
        <w:tc>
          <w:p w14:paraId="6F1DB1A5">
            <w:pPr>
              <w:jc w:val="left"/>
            </w:pPr>
            <w:r>
              <w:t>多媒体课件；展位设施图片；展位搭建管理规范文本；附加服务订单电子/纸质样表；任务卡；课堂评价打分表；《会展英语》Unit4对话文本素材</w:t>
            </w:r>
          </w:p>
        </w:tc>
      </w:tr>
    </w:tbl>
    <w:p w14:paraId="40DD0D62">
      <w:pPr>
        <w:spacing w:before="240"/>
      </w:pPr>
      <w:r>
        <w:t xml:space="preserve"> </w:t>
      </w:r>
    </w:p>
    <w:p w14:paraId="7DC58BDB">
      <w:pPr>
        <w:spacing w:after="200"/>
      </w:pPr>
      <w:r>
        <w:t xml:space="preserve"> 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1184"/>
        <w:gridCol w:w="2368"/>
        <w:gridCol w:w="1594"/>
        <w:gridCol w:w="1548"/>
        <w:gridCol w:w="1047"/>
        <w:gridCol w:w="1275"/>
      </w:tblGrid>
      <w:tr w14:paraId="16631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rPr>
          <w:tblHeader/>
        </w:trPr>
        <w:tc>
          <w:p w14:paraId="1A40A82E">
            <w:pPr>
              <w:jc w:val="left"/>
            </w:pPr>
            <w:r>
              <w:rPr>
                <w:b/>
                <w:bCs/>
              </w:rPr>
              <w:t>教学环节</w:t>
            </w:r>
          </w:p>
        </w:tc>
        <w:tc>
          <w:p w14:paraId="7716C22A">
            <w:pPr>
              <w:jc w:val="left"/>
            </w:pPr>
            <w:r>
              <w:rPr>
                <w:b/>
                <w:bCs/>
              </w:rPr>
              <w:t>教师活动</w:t>
            </w:r>
          </w:p>
        </w:tc>
        <w:tc>
          <w:p w14:paraId="70A2B499">
            <w:pPr>
              <w:jc w:val="left"/>
            </w:pPr>
            <w:r>
              <w:rPr>
                <w:b/>
                <w:bCs/>
              </w:rPr>
              <w:t>学生活动</w:t>
            </w:r>
          </w:p>
        </w:tc>
        <w:tc>
          <w:p w14:paraId="5B13C831">
            <w:pPr>
              <w:jc w:val="left"/>
            </w:pPr>
            <w:r>
              <w:rPr>
                <w:b/>
                <w:bCs/>
              </w:rPr>
              <w:t>课程思政</w:t>
            </w:r>
          </w:p>
        </w:tc>
        <w:tc>
          <w:p w14:paraId="35624DD5">
            <w:pPr>
              <w:jc w:val="left"/>
            </w:pPr>
            <w:r>
              <w:rPr>
                <w:b/>
                <w:bCs/>
              </w:rPr>
              <w:t>教学策略</w:t>
            </w:r>
          </w:p>
        </w:tc>
        <w:tc>
          <w:p w14:paraId="59EA5D1E">
            <w:pPr>
              <w:jc w:val="left"/>
            </w:pPr>
            <w:r>
              <w:rPr>
                <w:b/>
                <w:bCs/>
              </w:rPr>
              <w:t>AI赋能</w:t>
            </w:r>
          </w:p>
        </w:tc>
      </w:tr>
      <w:tr w14:paraId="07A6C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2B981676">
            <w:pPr>
              <w:jc w:val="left"/>
            </w:pPr>
            <w:r>
              <w:t>环节一 情景导入（8′）</w:t>
            </w:r>
          </w:p>
        </w:tc>
        <w:tc>
          <w:p w14:paraId="6652AF5C">
            <w:pPr>
              <w:jc w:val="left"/>
            </w:pPr>
            <w:r>
              <w:t>展示违规搭建展位案例图片，抛出思考：展位好看但为什么会被场馆要求整改？引出展位搭建管理制度。</w:t>
            </w:r>
          </w:p>
        </w:tc>
        <w:tc>
          <w:p w14:paraId="0ECA07B2">
            <w:pPr>
              <w:jc w:val="left"/>
            </w:pPr>
            <w:r>
              <w:t>观察案例图片，小组讨论猜想展位被责令整改的原因。</w:t>
            </w:r>
          </w:p>
        </w:tc>
        <w:tc>
          <w:p w14:paraId="5250AA05">
            <w:pPr>
              <w:jc w:val="left"/>
            </w:pPr>
            <w:r>
              <w:t>会展业务安全优先，设计搭建不能只追求美观，必须服从安全消防规定。</w:t>
            </w:r>
          </w:p>
        </w:tc>
        <w:tc>
          <w:p w14:paraId="0D6EEC6C">
            <w:pPr>
              <w:jc w:val="left"/>
            </w:pPr>
            <w:r>
              <w:t>情景导入法、案例教学法</w:t>
            </w:r>
          </w:p>
        </w:tc>
        <w:tc>
          <w:p w14:paraId="254839A0">
            <w:pPr>
              <w:jc w:val="left"/>
            </w:pPr>
            <w:r>
              <w:t>AI调取展位设施、违规搭建案例图片投屏展示。</w:t>
            </w:r>
          </w:p>
        </w:tc>
      </w:tr>
      <w:tr w14:paraId="78612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24DC389">
            <w:pPr>
              <w:jc w:val="left"/>
            </w:pPr>
            <w:r>
              <w:t>环节二 展位设施与搭建规章制度精讲（20′）</w:t>
            </w:r>
          </w:p>
        </w:tc>
        <w:tc>
          <w:p w14:paraId="1F3C1B02">
            <w:pPr>
              <w:jc w:val="left"/>
            </w:pPr>
            <w:r>
              <w:t>结合Unit4阅读文本，讲解展位各类配套设施；逐条解读展位搭建管理规定：承包商资质、防火材料、展位限高、天花板覆盖要求、墙体处理、场馆禁令、施工人员管理；组织正误判断训练。</w:t>
            </w:r>
          </w:p>
        </w:tc>
        <w:tc>
          <w:p w14:paraId="50C49C3D">
            <w:pPr>
              <w:jc w:val="left"/>
            </w:pPr>
            <w:r>
              <w:t>记录规章制度要点，完成搭建规范正误判断题，识别违规设计行为。</w:t>
            </w:r>
          </w:p>
        </w:tc>
        <w:tc>
          <w:p w14:paraId="42A9EF75">
            <w:pPr>
              <w:jc w:val="left"/>
            </w:pPr>
            <w:r>
              <w:t>坚守安全生产、消防安全红线，树立合规参展理念。</w:t>
            </w:r>
          </w:p>
        </w:tc>
        <w:tc>
          <w:p w14:paraId="134AE182">
            <w:pPr>
              <w:jc w:val="left"/>
            </w:pPr>
            <w:r>
              <w:t>讲授法、对比辨析法</w:t>
            </w:r>
          </w:p>
        </w:tc>
        <w:tc>
          <w:p w14:paraId="0FC60C5C">
            <w:pPr>
              <w:jc w:val="left"/>
            </w:pPr>
            <w:r>
              <w:t>AI生成搭建管理要点对照表投屏，辅助笔记整理。</w:t>
            </w:r>
          </w:p>
        </w:tc>
      </w:tr>
      <w:tr w14:paraId="756B9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360BEC6A">
            <w:pPr>
              <w:jc w:val="left"/>
            </w:pPr>
            <w:r>
              <w:t>环节三 附加服务订单研读与填写实操（22′）</w:t>
            </w:r>
          </w:p>
        </w:tc>
        <w:tc>
          <w:p w14:paraId="45702E5F">
            <w:pPr>
              <w:jc w:val="left"/>
            </w:pPr>
            <w:r>
              <w:t>结合Exhibitor Order Form样本，逐栏讲解参展商信息、设施描述、单价、数量、总金额、截止日期、逾期附加费、付款、签字栏目；展示填写错误样例，组织纠错训练。</w:t>
            </w:r>
          </w:p>
        </w:tc>
        <w:tc>
          <w:p w14:paraId="60816DB1">
            <w:pPr>
              <w:jc w:val="left"/>
            </w:pPr>
            <w:r>
              <w:t>研读英文附加服务订单；模拟企业参展需求完成表单填写；小组找出样表错误并修正。</w:t>
            </w:r>
          </w:p>
        </w:tc>
        <w:tc>
          <w:p w14:paraId="4666121C">
            <w:pPr>
              <w:jc w:val="left"/>
            </w:pPr>
            <w:r>
              <w:t>涉外业务重视时间契约，严格留意订单截止期限，规避逾期产生额外费用风险。</w:t>
            </w:r>
          </w:p>
        </w:tc>
        <w:tc>
          <w:p w14:paraId="54DFC0D2">
            <w:pPr>
              <w:jc w:val="left"/>
            </w:pPr>
            <w:r>
              <w:t>任务驱动教学法、纠错训练法</w:t>
            </w:r>
          </w:p>
        </w:tc>
        <w:tc>
          <w:p w14:paraId="6B302F0C">
            <w:pPr>
              <w:jc w:val="left"/>
            </w:pPr>
            <w:r>
              <w:t>AI高亮订单关键栏目、逾期附加费风险提示。</w:t>
            </w:r>
          </w:p>
        </w:tc>
      </w:tr>
      <w:tr w14:paraId="41A459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2222AA13">
            <w:pPr>
              <w:jc w:val="left"/>
            </w:pPr>
            <w:r>
              <w:t>环节四 情景角色扮演实训（30′）</w:t>
            </w:r>
          </w:p>
        </w:tc>
        <w:tc>
          <w:p w14:paraId="2E6C7516">
            <w:pPr>
              <w:jc w:val="left"/>
            </w:pPr>
            <w:r>
              <w:t>下发任务卡：场景1：组展方联系搭建商承接标准展位搭建；场景2：参展商咨询光地展位搭建，申请场馆配套服务；分组轮换角色，开展电话对话演练，下发互评打分表。</w:t>
            </w:r>
          </w:p>
        </w:tc>
        <w:tc>
          <w:p w14:paraId="62052133">
            <w:pPr>
              <w:jc w:val="left"/>
            </w:pPr>
            <w:r>
              <w:t>小组分工扮演组展方、搭建承包商、参展企业市场经理，完成情景对话，小组间互评。</w:t>
            </w:r>
          </w:p>
        </w:tc>
        <w:tc>
          <w:p w14:paraId="730230ED">
            <w:pPr>
              <w:jc w:val="left"/>
            </w:pPr>
            <w:r>
              <w:t>业务沟通兼顾合同规则与服务意识，明确三方权责。</w:t>
            </w:r>
          </w:p>
        </w:tc>
        <w:tc>
          <w:p w14:paraId="497237FB">
            <w:pPr>
              <w:jc w:val="left"/>
            </w:pPr>
            <w:r>
              <w:t>项目化教学、角色扮演、同伴互评法</w:t>
            </w:r>
          </w:p>
        </w:tc>
        <w:tc>
          <w:p w14:paraId="6330AD15">
            <w:pPr>
              <w:jc w:val="left"/>
            </w:pPr>
            <w:r>
              <w:t>AI生成角色扮演提示素材，禁止直接复制完整对话。</w:t>
            </w:r>
          </w:p>
        </w:tc>
      </w:tr>
      <w:tr w14:paraId="2DED0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0E26622D">
            <w:pPr>
              <w:jc w:val="left"/>
            </w:pPr>
            <w:r>
              <w:t>环节五 课堂总结（10′）</w:t>
            </w:r>
          </w:p>
        </w:tc>
        <w:tc>
          <w:p w14:paraId="3C25B911">
            <w:pPr>
              <w:jc w:val="left"/>
            </w:pPr>
            <w:r>
              <w:t>梳理搭建安全规则、附加服务订单填写要点、逾期风险；答疑解惑。</w:t>
            </w:r>
          </w:p>
        </w:tc>
        <w:tc>
          <w:p w14:paraId="20A29F32">
            <w:pPr>
              <w:jc w:val="left"/>
            </w:pPr>
            <w:r>
              <w:t>整理课堂笔记，反思本组角色扮演存在的不足。</w:t>
            </w:r>
          </w:p>
        </w:tc>
        <w:tc>
          <w:p w14:paraId="3544DFCB">
            <w:pPr>
              <w:jc w:val="left"/>
            </w:pPr>
            <w:r>
              <w:t>会展岗位需要极强的规则意识与风险预判能力。</w:t>
            </w:r>
          </w:p>
        </w:tc>
        <w:tc>
          <w:p w14:paraId="08A7A990">
            <w:pPr>
              <w:jc w:val="left"/>
            </w:pPr>
            <w:r>
              <w:t>归纳总结法</w:t>
            </w:r>
          </w:p>
        </w:tc>
        <w:tc>
          <w:p w14:paraId="0E7F7C88">
            <w:pPr>
              <w:jc w:val="left"/>
            </w:pPr>
            <w:r>
              <w:t>AI生成本课思维导图，课后供学生下载复习。</w:t>
            </w:r>
          </w:p>
        </w:tc>
      </w:tr>
    </w:tbl>
    <w:p w14:paraId="6A869E35">
      <w:pPr>
        <w:spacing w:before="240"/>
      </w:pPr>
      <w:r>
        <w:t xml:space="preserve"> </w:t>
      </w:r>
    </w:p>
    <w:p w14:paraId="5629E99C">
      <w:pPr>
        <w:spacing w:after="200"/>
      </w:pPr>
      <w:r>
        <w:t xml:space="preserve"> </w:t>
      </w:r>
    </w:p>
    <w:p w14:paraId="0F51D4D3">
      <w:pPr>
        <w:pStyle w:val="4"/>
        <w:spacing w:after="200"/>
        <w:jc w:val="left"/>
      </w:pPr>
      <w:r>
        <w:t>课后</w:t>
      </w:r>
    </w:p>
    <w:p w14:paraId="42C8591F">
      <w:pPr>
        <w:spacing w:after="240"/>
      </w:pPr>
      <w:r>
        <w:t xml:space="preserve"> 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004"/>
        <w:gridCol w:w="7012"/>
      </w:tblGrid>
      <w:tr w14:paraId="3CAB2C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rPr>
          <w:tblHeader/>
        </w:trPr>
        <w:tc>
          <w:p w14:paraId="0DBC4C46">
            <w:pPr>
              <w:jc w:val="left"/>
            </w:pPr>
            <w:r>
              <w:rPr>
                <w:b/>
                <w:bCs/>
              </w:rPr>
              <w:t>项目</w:t>
            </w:r>
          </w:p>
        </w:tc>
        <w:tc>
          <w:p w14:paraId="7CCBD185">
            <w:pPr>
              <w:jc w:val="left"/>
            </w:pPr>
            <w:r>
              <w:rPr>
                <w:b/>
                <w:bCs/>
              </w:rPr>
              <w:t>内容</w:t>
            </w:r>
          </w:p>
        </w:tc>
      </w:tr>
      <w:tr w14:paraId="107F84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565AF335">
            <w:pPr>
              <w:jc w:val="left"/>
            </w:pPr>
            <w:r>
              <w:t>学业评价</w:t>
            </w:r>
          </w:p>
        </w:tc>
        <w:tc>
          <w:p w14:paraId="1C20D7F9">
            <w:pPr>
              <w:jc w:val="left"/>
            </w:pPr>
            <w:r>
              <w:t>附加服务订单填写实操45% + 角色扮演展示35% + 课前小测20%</w:t>
            </w:r>
          </w:p>
        </w:tc>
      </w:tr>
      <w:tr w14:paraId="07321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75F1A02A">
            <w:pPr>
              <w:jc w:val="left"/>
            </w:pPr>
            <w:r>
              <w:t>教学形式</w:t>
            </w:r>
          </w:p>
        </w:tc>
        <w:tc>
          <w:p w14:paraId="336626C3">
            <w:pPr>
              <w:jc w:val="left"/>
            </w:pPr>
            <w:r>
              <w:t>在线教学（学习通+微信群）</w:t>
            </w:r>
          </w:p>
        </w:tc>
      </w:tr>
      <w:tr w14:paraId="704D5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2E9C7546">
            <w:pPr>
              <w:jc w:val="left"/>
            </w:pPr>
            <w:r>
              <w:t>教学投入</w:t>
            </w:r>
          </w:p>
        </w:tc>
        <w:tc>
          <w:p w14:paraId="27C9EC5A">
            <w:pPr>
              <w:jc w:val="left"/>
            </w:pPr>
            <w:r>
              <w:t>《会展英语》Unit4拓展阅读；境外展会附加服务订单范例；展位搭建常见问题文档。</w:t>
            </w:r>
          </w:p>
        </w:tc>
      </w:tr>
      <w:tr w14:paraId="0D5A8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AE990AF">
            <w:pPr>
              <w:jc w:val="left"/>
            </w:pPr>
            <w:r>
              <w:t>课程思政</w:t>
            </w:r>
          </w:p>
        </w:tc>
        <w:tc>
          <w:p w14:paraId="74918357">
            <w:pPr>
              <w:jc w:val="left"/>
            </w:pPr>
            <w:r>
              <w:t>参加境外展会，应当主动研读当地场馆搭建安全规范，恪守海外展会各项管理要求。</w:t>
            </w:r>
          </w:p>
        </w:tc>
      </w:tr>
      <w:tr w14:paraId="7D4ECA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63C7E5FF">
            <w:pPr>
              <w:jc w:val="left"/>
            </w:pPr>
            <w:r>
              <w:t>AI赋能</w:t>
            </w:r>
          </w:p>
        </w:tc>
        <w:tc>
          <w:p w14:paraId="78F479B9">
            <w:pPr>
              <w:jc w:val="left"/>
            </w:pPr>
            <w:r>
              <w:t>学生借助AI辅助读懂英文难点，表单填写内容必须独立完成。</w:t>
            </w:r>
          </w:p>
        </w:tc>
      </w:tr>
      <w:tr w14:paraId="13497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B25A43C">
            <w:pPr>
              <w:jc w:val="left"/>
            </w:pPr>
            <w:r>
              <w:t>教师活动</w:t>
            </w:r>
          </w:p>
        </w:tc>
        <w:tc>
          <w:p w14:paraId="1724BA66">
            <w:pPr>
              <w:jc w:val="left"/>
            </w:pPr>
            <w:r>
              <w:t>（1）批改学生填写的附加服务订单，标注共性错误，上传优秀范例；（2）线上答疑；（3）发布Unit4课后习题。</w:t>
            </w:r>
          </w:p>
        </w:tc>
      </w:tr>
      <w:tr w14:paraId="479D1D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78564BBB">
            <w:pPr>
              <w:jc w:val="left"/>
            </w:pPr>
            <w:r>
              <w:t>学生活动</w:t>
            </w:r>
          </w:p>
        </w:tc>
        <w:tc>
          <w:p w14:paraId="7184E582">
            <w:pPr>
              <w:jc w:val="left"/>
            </w:pPr>
            <w:r>
              <w:t>（1）完善附加服务订单作业并提交；（2）录制一段光地展位业务咨询模拟音频上传学习通；（3）完成教材Unit4配套习题。</w:t>
            </w:r>
          </w:p>
        </w:tc>
      </w:tr>
      <w:tr w14:paraId="5ABF3F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20" w:type="dxa"/>
            <w:bottom w:w="80" w:type="dxa"/>
            <w:right w:w="120" w:type="dxa"/>
          </w:tblCellMar>
        </w:tblPrEx>
        <w:tc>
          <w:p w14:paraId="11C83048">
            <w:pPr>
              <w:jc w:val="left"/>
            </w:pPr>
            <w:r>
              <w:t>课后反思</w:t>
            </w:r>
          </w:p>
        </w:tc>
        <w:tc>
          <w:p w14:paraId="49F38BF8">
            <w:pPr>
              <w:jc w:val="left"/>
            </w:pPr>
            <w:r>
              <w:t>学生对逾期附加费、搭建承包商资质审核理解不充分，后续综合实训课强化安全与契约风险训练。</w:t>
            </w:r>
          </w:p>
        </w:tc>
      </w:tr>
    </w:tbl>
    <w:p w14:paraId="049397E3">
      <w:pPr>
        <w:spacing w:before="240"/>
      </w:pPr>
      <w:r>
        <w:t xml:space="preserve"> </w:t>
      </w:r>
    </w:p>
    <w:p w14:paraId="5747FB62">
      <w:pPr>
        <w:spacing w:after="200"/>
      </w:pPr>
      <w:r>
        <w:t xml:space="preserve"> </w:t>
      </w:r>
    </w:p>
    <w:p w14:paraId="03919BBE">
      <w:pPr>
        <w:spacing w:after="120"/>
        <w:jc w:val="left"/>
      </w:pPr>
      <w:r>
        <w:rPr>
          <w:b/>
          <w:bCs/>
        </w:rPr>
        <w:t>教学产出</w:t>
      </w:r>
      <w:r>
        <w:t>：展位搭建规范学习笔记；模拟填写完成的Exhibitor Order Form附加服务订单；角色扮演音频作业；《会展英语》Unit4课后习题作业
</w:t>
      </w:r>
      <w:r>
        <w:br w:type="textWrapping"/>
      </w:r>
      <w:r>
        <w:rPr>
          <w:b/>
          <w:bCs/>
        </w:rPr>
        <w:t>教学考核</w:t>
      </w:r>
      <w:r>
        <w:t>：（1）过程考核：课堂小组角色扮演、表单填写作业、线上任务；（2）本课成绩计入单元整体过程性评价。</w:t>
      </w:r>
    </w:p>
    <w:sectPr>
      <w:pgSz w:w="11906" w:h="16838"/>
      <w:pgMar w:top="1440" w:right="1440" w:bottom="1440" w:left="144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ompat>
    <w:useFELayout/>
    <w:compatSetting w:name="compatibilityMode" w:uri="http://schemas.microsoft.com/office/word" w:val="15"/>
  </w:compat>
  <w:rsids>
    <w:rsidRoot w:val="00000000"/>
    <w:rsid w:val="4E4F5F2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4"/>
      <w:szCs w:val="24"/>
    </w:rPr>
  </w:style>
  <w:style w:type="paragraph" w:styleId="2">
    <w:name w:val="heading 1"/>
    <w:next w:val="1"/>
    <w:qFormat/>
    <w:uiPriority w:val="0"/>
    <w:pPr>
      <w:jc w:val="left"/>
    </w:pPr>
    <w:rPr>
      <w:b/>
      <w:bCs/>
      <w:color w:val="000000"/>
      <w:sz w:val="40"/>
      <w:szCs w:val="40"/>
    </w:rPr>
  </w:style>
  <w:style w:type="paragraph" w:styleId="3">
    <w:name w:val="heading 2"/>
    <w:next w:val="1"/>
    <w:qFormat/>
    <w:uiPriority w:val="0"/>
    <w:pPr>
      <w:jc w:val="left"/>
    </w:pPr>
    <w:rPr>
      <w:b/>
      <w:bCs/>
      <w:color w:val="000000"/>
      <w:sz w:val="36"/>
      <w:szCs w:val="36"/>
    </w:rPr>
  </w:style>
  <w:style w:type="paragraph" w:styleId="4">
    <w:name w:val="heading 3"/>
    <w:next w:val="1"/>
    <w:qFormat/>
    <w:uiPriority w:val="0"/>
    <w:pPr>
      <w:jc w:val="left"/>
    </w:pPr>
    <w:rPr>
      <w:b/>
      <w:bCs/>
      <w:color w:val="000000"/>
      <w:sz w:val="32"/>
      <w:szCs w:val="32"/>
    </w:rPr>
  </w:style>
  <w:style w:type="paragraph" w:styleId="5">
    <w:name w:val="heading 4"/>
    <w:next w:val="1"/>
    <w:qFormat/>
    <w:uiPriority w:val="0"/>
    <w:pPr>
      <w:jc w:val="left"/>
    </w:pPr>
    <w:rPr>
      <w:b/>
      <w:bCs/>
      <w:color w:val="000000"/>
      <w:sz w:val="28"/>
      <w:szCs w:val="28"/>
    </w:rPr>
  </w:style>
  <w:style w:type="paragraph" w:styleId="6">
    <w:name w:val="heading 5"/>
    <w:next w:val="1"/>
    <w:qFormat/>
    <w:uiPriority w:val="0"/>
    <w:pPr>
      <w:jc w:val="left"/>
    </w:pPr>
    <w:rPr>
      <w:b/>
      <w:bCs/>
      <w:color w:val="000000"/>
      <w:sz w:val="24"/>
      <w:szCs w:val="24"/>
    </w:rPr>
  </w:style>
  <w:style w:type="paragraph" w:styleId="7">
    <w:name w:val="heading 6"/>
    <w:next w:val="1"/>
    <w:qFormat/>
    <w:uiPriority w:val="0"/>
    <w:pPr>
      <w:jc w:val="left"/>
    </w:pPr>
    <w:rPr>
      <w:b/>
      <w:bCs/>
      <w:color w:val="000000"/>
      <w:sz w:val="20"/>
      <w:szCs w:val="20"/>
    </w:rPr>
  </w:style>
  <w:style w:type="character" w:default="1" w:styleId="11">
    <w:name w:val="Default Paragraph Font"/>
    <w:semiHidden/>
    <w:uiPriority w:val="0"/>
  </w:style>
  <w:style w:type="table" w:default="1" w:styleId="10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link w:val="15"/>
    <w:semiHidden/>
    <w:unhideWhenUsed/>
    <w:uiPriority w:val="99"/>
    <w:pPr>
      <w:spacing w:after="0" w:line="240" w:lineRule="auto"/>
      <w:jc w:val="left"/>
    </w:pPr>
    <w:rPr>
      <w:sz w:val="20"/>
      <w:szCs w:val="20"/>
    </w:rPr>
  </w:style>
  <w:style w:type="paragraph" w:styleId="9">
    <w:name w:val="Title"/>
    <w:qFormat/>
    <w:uiPriority w:val="0"/>
    <w:pPr>
      <w:jc w:val="left"/>
    </w:pPr>
    <w:rPr>
      <w:sz w:val="56"/>
      <w:szCs w:val="56"/>
    </w:rPr>
  </w:style>
  <w:style w:type="character" w:styleId="12">
    <w:name w:val="Hyperlink"/>
    <w:unhideWhenUsed/>
    <w:uiPriority w:val="99"/>
    <w:rPr>
      <w:color w:val="0563C1"/>
      <w:u w:val="single"/>
    </w:rPr>
  </w:style>
  <w:style w:type="character" w:styleId="13">
    <w:name w:val="footnote reference"/>
    <w:semiHidden/>
    <w:unhideWhenUsed/>
    <w:uiPriority w:val="99"/>
    <w:rPr>
      <w:vertAlign w:val="superscript"/>
    </w:rPr>
  </w:style>
  <w:style w:type="paragraph" w:styleId="14">
    <w:name w:val="List Paragraph"/>
    <w:qFormat/>
    <w:uiPriority w:val="0"/>
    <w:pPr>
      <w:jc w:val="left"/>
    </w:pPr>
    <w:rPr>
      <w:sz w:val="24"/>
      <w:szCs w:val="24"/>
    </w:rPr>
  </w:style>
  <w:style w:type="character" w:customStyle="1" w:styleId="15">
    <w:name w:val="Footnote Text Char"/>
    <w:link w:val="8"/>
    <w:semiHidden/>
    <w:unhideWhenUsed/>
    <w:uiPriority w:val="99"/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2548</Words>
  <Characters>2729</Characters>
  <TotalTime>2</TotalTime>
  <ScaleCrop>false</ScaleCrop>
  <LinksUpToDate>false</LinksUpToDate>
  <CharactersWithSpaces>2765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2026-08-29T05:44:00Z</dcterms:created>
  <dc:creator>Un-named</dc:creator>
  <cp:lastModifiedBy>Rose Qiu</cp:lastModifiedBy>
  <dcterms:modified xsi:type="dcterms:W3CDTF">2026-08-29T05:47:43Z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eyJoZGlkIjoiM2QyMDJlNWJhMWM4YmZjMDJmYTEwZDc3NjczNzY5ZDYiLCJ1c2VySWQiOiIyMzc5ODU3MDcifQ==</vt:lpwstr>
  </property>
  <property fmtid="{D5CDD505-2E9C-101B-9397-08002B2CF9AE}" pid="3" name="KSOProductBuildVer">
    <vt:lpwstr>2052-12.1.0.28043</vt:lpwstr>
  </property>
  <property fmtid="{D5CDD505-2E9C-101B-9397-08002B2CF9AE}" pid="4" name="ICV">
    <vt:lpwstr>E663EB43467043A582794B4BB271F767_12</vt:lpwstr>
  </property>
</Properties>
</file>