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96A97C">
      <w:pPr>
        <w:pStyle w:val="2"/>
        <w:spacing w:after="200"/>
        <w:jc w:val="center"/>
        <w:rPr>
          <w:rFonts w:hint="default" w:eastAsia="宋体"/>
          <w:b w:val="0"/>
          <w:bCs w:val="0"/>
          <w:lang w:val="en-US" w:eastAsia="zh-CN"/>
        </w:rPr>
      </w:pPr>
      <w:r>
        <w:rPr>
          <w:b w:val="0"/>
          <w:bCs w:val="0"/>
        </w:rPr>
        <w:t>《会展实务》</w:t>
      </w:r>
      <w:r>
        <w:rPr>
          <w:rFonts w:hint="eastAsia"/>
          <w:b w:val="0"/>
          <w:bCs w:val="0"/>
          <w:lang w:val="en-US" w:eastAsia="zh-CN"/>
        </w:rPr>
        <w:t>单元设计3</w:t>
      </w:r>
      <w:bookmarkStart w:id="0" w:name="_GoBack"/>
      <w:bookmarkEnd w:id="0"/>
    </w:p>
    <w:p w14:paraId="3041995C">
      <w:pPr>
        <w:pStyle w:val="2"/>
        <w:spacing w:after="200"/>
        <w:jc w:val="center"/>
        <w:rPr>
          <w:color w:val="4F81BD" w:themeColor="accent1"/>
          <w14:textFill>
            <w14:solidFill>
              <w14:schemeClr w14:val="accent1"/>
            </w14:solidFill>
          </w14:textFill>
        </w:rPr>
      </w:pPr>
      <w:r>
        <w:rPr>
          <w:color w:val="4F81BD" w:themeColor="accent1"/>
          <w14:textFill>
            <w14:solidFill>
              <w14:schemeClr w14:val="accent1"/>
            </w14:solidFill>
          </w14:textFill>
        </w:rPr>
        <w:t>Unit3 Booth Sale and Application</w:t>
      </w:r>
    </w:p>
    <w:p w14:paraId="20AE0837">
      <w:pPr>
        <w:pStyle w:val="2"/>
        <w:spacing w:after="200"/>
        <w:jc w:val="center"/>
        <w:rPr>
          <w:b w:val="0"/>
          <w:bCs w:val="0"/>
        </w:rPr>
      </w:pPr>
      <w:r>
        <w:rPr>
          <w:b w:val="0"/>
          <w:bCs w:val="0"/>
        </w:rPr>
        <w:t>展位预定与申请</w:t>
      </w:r>
    </w:p>
    <w:p w14:paraId="2267C04D">
      <w:pPr>
        <w:rPr>
          <w:rFonts w:hint="default" w:eastAsia="宋体"/>
          <w:lang w:val="en-US" w:eastAsia="zh-CN"/>
        </w:rPr>
      </w:pPr>
    </w:p>
    <w:p w14:paraId="73576CB4">
      <w:pPr>
        <w:pBdr>
          <w:left w:val="single" w:color="BFBFBF" w:sz="12" w:space="200"/>
        </w:pBdr>
        <w:spacing w:after="120"/>
        <w:ind w:left="300"/>
        <w:jc w:val="left"/>
      </w:pPr>
      <w:r>
        <w:t>课程基础信息
</w:t>
      </w:r>
      <w:r>
        <w:br w:type="textWrapping"/>
      </w:r>
      <w:r>
        <w:t>专业名称：国际经济与贸易
</w:t>
      </w:r>
      <w:r>
        <w:br w:type="textWrapping"/>
      </w:r>
      <w:r>
        <w:t>课程名称：会展实务
</w:t>
      </w:r>
      <w:r>
        <w:br w:type="textWrapping"/>
      </w:r>
      <w:r>
        <w:t>课程形态：☐“A”类课 ☑“B”类课（理论+实践） ☐“C”类课
</w:t>
      </w:r>
      <w:r>
        <w:br w:type="textWrapping"/>
      </w:r>
      <w:r>
        <w:t>教学团队：负责人：邱兆蕾；成员：赵妍红、刘学飞
</w:t>
      </w:r>
      <w:r>
        <w:br w:type="textWrapping"/>
      </w:r>
      <w:r>
        <w:t>授课对象：2024级国际经济与贸易1、2班
</w:t>
      </w:r>
      <w:r>
        <w:br w:type="textWrapping"/>
      </w:r>
      <w:r>
        <w:t>教学场所：多媒体设备、网络；线上平台；</w:t>
      </w:r>
    </w:p>
    <w:p w14:paraId="0C543C31">
      <w:pPr>
        <w:pBdr>
          <w:left w:val="single" w:color="BFBFBF" w:sz="12" w:space="200"/>
        </w:pBdr>
        <w:spacing w:after="120"/>
        <w:ind w:left="300"/>
        <w:jc w:val="left"/>
      </w:pPr>
      <w:r>
        <w:t>配套资源：外研社《会展英语》Unit3课件；4类展位（线型、转角、半岛、岛型）图文素材；香港玩具展展位申请表样本
</w:t>
      </w:r>
      <w:r>
        <w:br w:type="textWrapping"/>
      </w:r>
      <w:r>
        <w:t>授课模块：模块一 会展业认知与展前筹备
</w:t>
      </w:r>
      <w:r>
        <w:br w:type="textWrapping"/>
      </w:r>
      <w:r>
        <w:br w:type="textWrapping"/>
      </w:r>
      <w:r>
        <w:t>工作任务：展位预定与申请表；识别四类展位类型、理解展位分配规则；读懂英文展位申请表；能够完整填写展位申请表；模拟展位预订、改订、取消预订业务情景。</w:t>
      </w:r>
    </w:p>
    <w:p w14:paraId="0F4B0772">
      <w:pPr>
        <w:spacing w:after="200"/>
      </w:pPr>
      <w:r>
        <w:t xml:space="preserve"> </w:t>
      </w:r>
    </w:p>
    <w:p w14:paraId="6C36F77D">
      <w:pPr>
        <w:spacing w:after="120"/>
        <w:jc w:val="left"/>
      </w:pPr>
      <w:r>
        <w:rPr>
          <w:b w:val="0"/>
          <w:bCs w:val="0"/>
        </w:rPr>
        <w:t>教学目标</w:t>
      </w:r>
      <w:r>
        <w:t>
</w:t>
      </w:r>
      <w:r>
        <w:br w:type="textWrapping"/>
      </w:r>
      <w:r>
        <w:t>（1）知识目标：</w:t>
      </w:r>
    </w:p>
    <w:p w14:paraId="675BDB3F">
      <w:pPr>
        <w:spacing w:after="120"/>
        <w:ind w:firstLine="480" w:firstLineChars="200"/>
        <w:jc w:val="left"/>
      </w:pPr>
      <w:r>
        <w:t>①掌握4类展位：线型展位Row booth、转角展位Corner booth、半岛展位End/Peninsula booth、岛型展位Island/Block booth的位置、开放通道面数、特点与价格差异；</w:t>
      </w:r>
    </w:p>
    <w:p w14:paraId="4DDC1A36">
      <w:pPr>
        <w:spacing w:after="120"/>
        <w:ind w:firstLine="480" w:firstLineChars="200"/>
        <w:jc w:val="left"/>
      </w:pPr>
      <w:r>
        <w:t>②掌握展位销售、申请预订完整业务流程；</w:t>
      </w:r>
    </w:p>
    <w:p w14:paraId="775164C1">
      <w:pPr>
        <w:spacing w:after="120"/>
        <w:ind w:firstLine="480" w:firstLineChars="200"/>
        <w:jc w:val="left"/>
      </w:pPr>
      <w:r>
        <w:t>③识记展位申请表Booth Application Form全部核心栏目含义；</w:t>
      </w:r>
    </w:p>
    <w:p w14:paraId="402EB6F3">
      <w:pPr>
        <w:spacing w:after="120"/>
        <w:ind w:firstLine="480" w:firstLineChars="200"/>
        <w:jc w:val="left"/>
      </w:pPr>
      <w:r>
        <w:t>④了解展位改订、取消预订相关规则、退费条款。
</w:t>
      </w:r>
      <w:r>
        <w:br w:type="textWrapping"/>
      </w:r>
      <w:r>
        <w:t>（2）能力目标：</w:t>
      </w:r>
    </w:p>
    <w:p w14:paraId="2B765193">
      <w:pPr>
        <w:spacing w:after="120"/>
        <w:ind w:firstLine="480" w:firstLineChars="200"/>
        <w:jc w:val="left"/>
      </w:pPr>
      <w:r>
        <w:t>①能够根据企业参展需求选择合适展位类型；</w:t>
      </w:r>
    </w:p>
    <w:p w14:paraId="5B4B8A5B">
      <w:pPr>
        <w:spacing w:after="120"/>
        <w:ind w:firstLine="480" w:firstLineChars="200"/>
        <w:jc w:val="left"/>
      </w:pPr>
      <w:r>
        <w:t>②能够读懂英文展位申请表，准确完整填写参展企业信息、展品类别、展位选型；</w:t>
      </w:r>
    </w:p>
    <w:p w14:paraId="14B0869B">
      <w:pPr>
        <w:spacing w:after="120"/>
        <w:ind w:firstLine="480" w:firstLineChars="200"/>
        <w:jc w:val="left"/>
      </w:pPr>
      <w:r>
        <w:t>③可以模拟电话场景，完成展位预订、变更展位、取消展位预约角色扮演；</w:t>
      </w:r>
    </w:p>
    <w:p w14:paraId="323F336E">
      <w:pPr>
        <w:spacing w:after="120"/>
        <w:ind w:left="480" w:leftChars="200" w:firstLine="0" w:firstLineChars="0"/>
        <w:jc w:val="left"/>
      </w:pPr>
      <w:r>
        <w:t>④能够识别申请表填写常见错误并修正。
</w:t>
      </w:r>
    </w:p>
    <w:p w14:paraId="2C8E92D0">
      <w:pPr>
        <w:numPr>
          <w:ilvl w:val="0"/>
          <w:numId w:val="1"/>
        </w:numPr>
        <w:spacing w:after="120"/>
        <w:jc w:val="left"/>
      </w:pPr>
      <w:r>
        <w:t>素养目标：</w:t>
      </w:r>
    </w:p>
    <w:p w14:paraId="092C396C">
      <w:pPr>
        <w:numPr>
          <w:numId w:val="0"/>
        </w:numPr>
        <w:spacing w:after="120"/>
        <w:ind w:firstLine="720" w:firstLineChars="300"/>
        <w:jc w:val="left"/>
      </w:pPr>
      <w:r>
        <w:t>①树立契约意识，重视展位预订表单签字盖章、合同、退费规则；</w:t>
      </w:r>
    </w:p>
    <w:p w14:paraId="5D95E31E">
      <w:pPr>
        <w:numPr>
          <w:numId w:val="0"/>
        </w:numPr>
        <w:spacing w:after="120"/>
        <w:ind w:firstLine="720" w:firstLineChars="300"/>
        <w:jc w:val="left"/>
      </w:pPr>
      <w:r>
        <w:t>②培养严谨细致的单证填写习惯，表单信息如实填报；</w:t>
      </w:r>
    </w:p>
    <w:p w14:paraId="56BA0C82">
      <w:pPr>
        <w:numPr>
          <w:numId w:val="0"/>
        </w:numPr>
        <w:spacing w:after="120"/>
        <w:ind w:firstLine="720" w:firstLineChars="300"/>
        <w:jc w:val="left"/>
      </w:pPr>
      <w:r>
        <w:t>③强化外贸企业参展风险预判意识，理性对待展位退改业务。</w:t>
      </w:r>
    </w:p>
    <w:p w14:paraId="57484B04">
      <w:pPr>
        <w:spacing w:after="200"/>
      </w:pPr>
      <w:r>
        <w:t xml:space="preserve"> </w:t>
      </w:r>
    </w:p>
    <w:p w14:paraId="3D81B930">
      <w:pPr>
        <w:spacing w:after="120"/>
        <w:jc w:val="left"/>
      </w:pPr>
      <w:r>
        <w:rPr>
          <w:b/>
          <w:bCs/>
        </w:rPr>
        <w:t>教学重难点</w:t>
      </w:r>
      <w:r>
        <w:t>
</w:t>
      </w:r>
      <w:r>
        <w:br w:type="textWrapping"/>
      </w:r>
      <w:r>
        <w:t>（1）教学重点：</w:t>
      </w:r>
    </w:p>
    <w:p w14:paraId="792D5A3C">
      <w:pPr>
        <w:spacing w:after="120"/>
        <w:jc w:val="left"/>
      </w:pPr>
      <w:r>
        <w:t>①四类展位的特征对比与选型；</w:t>
      </w:r>
    </w:p>
    <w:p w14:paraId="0A1906E8">
      <w:pPr>
        <w:spacing w:after="120"/>
        <w:jc w:val="left"/>
      </w:pPr>
      <w:r>
        <w:t>②英文展位申请表各个栏目含义，规范填写展位申请表；</w:t>
      </w:r>
    </w:p>
    <w:p w14:paraId="0A3A6897">
      <w:pPr>
        <w:spacing w:after="120"/>
        <w:jc w:val="left"/>
      </w:pPr>
      <w:r>
        <w:t>③展位预定完整业务流程。
</w:t>
      </w:r>
      <w:r>
        <w:br w:type="textWrapping"/>
      </w:r>
      <w:r>
        <w:t>（2）教学难点：</w:t>
      </w:r>
    </w:p>
    <w:p w14:paraId="5D484CA0">
      <w:pPr>
        <w:spacing w:after="120"/>
        <w:jc w:val="left"/>
      </w:pPr>
      <w:r>
        <w:t>①结合企业参展规模、预算、宣传目标合理选择展位类型；</w:t>
      </w:r>
    </w:p>
    <w:p w14:paraId="62C3388E">
      <w:pPr>
        <w:spacing w:after="120"/>
        <w:jc w:val="left"/>
      </w:pPr>
      <w:r>
        <w:t>②理解展位分配优先级、特殊位置附加费、退订退费规则；</w:t>
      </w:r>
    </w:p>
    <w:p w14:paraId="14F1D287">
      <w:pPr>
        <w:spacing w:after="120"/>
        <w:jc w:val="left"/>
      </w:pPr>
      <w:r>
        <w:t>③角色扮演：展位变更、取消预订业务沟通。</w:t>
      </w:r>
    </w:p>
    <w:p w14:paraId="1F0BA02F">
      <w:pPr>
        <w:spacing w:after="200"/>
      </w:pPr>
      <w:r>
        <w:t xml:space="preserve"> </w:t>
      </w:r>
    </w:p>
    <w:p w14:paraId="4FC06D7B">
      <w:pPr>
        <w:pStyle w:val="3"/>
        <w:spacing w:after="200"/>
        <w:jc w:val="left"/>
      </w:pPr>
      <w:r>
        <w:t>教学流程</w:t>
      </w:r>
    </w:p>
    <w:p w14:paraId="21F29BDA">
      <w:pPr>
        <w:pStyle w:val="4"/>
        <w:spacing w:after="200"/>
        <w:jc w:val="left"/>
      </w:pPr>
      <w:r>
        <w:t>课前</w:t>
      </w:r>
    </w:p>
    <w:p w14:paraId="63496CAF">
      <w:pPr>
        <w:spacing w:after="240"/>
      </w:pPr>
      <w:r>
        <w:t xml:space="preserve"> </w:t>
      </w:r>
    </w:p>
    <w:tbl>
      <w:tblPr>
        <w:tblStyle w:val="10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80" w:type="dxa"/>
          <w:left w:w="120" w:type="dxa"/>
          <w:bottom w:w="80" w:type="dxa"/>
          <w:right w:w="120" w:type="dxa"/>
        </w:tblCellMar>
      </w:tblPr>
      <w:tblGrid>
        <w:gridCol w:w="1745"/>
        <w:gridCol w:w="7271"/>
      </w:tblGrid>
      <w:tr w14:paraId="1314C8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blHeader/>
        </w:trPr>
        <w:tc>
          <w:p w14:paraId="750ED782">
            <w:pPr>
              <w:jc w:val="left"/>
            </w:pPr>
            <w:r>
              <w:rPr>
                <w:b/>
                <w:bCs/>
              </w:rPr>
              <w:t>项目</w:t>
            </w:r>
          </w:p>
        </w:tc>
        <w:tc>
          <w:p w14:paraId="03C0F19A">
            <w:pPr>
              <w:jc w:val="left"/>
            </w:pPr>
            <w:r>
              <w:rPr>
                <w:b/>
                <w:bCs/>
              </w:rPr>
              <w:t>内容</w:t>
            </w:r>
          </w:p>
        </w:tc>
      </w:tr>
      <w:tr w14:paraId="38622A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20" w:type="dxa"/>
            <w:bottom w:w="80" w:type="dxa"/>
            <w:right w:w="120" w:type="dxa"/>
          </w:tblCellMar>
        </w:tblPrEx>
        <w:tc>
          <w:p w14:paraId="3D10F804">
            <w:pPr>
              <w:jc w:val="left"/>
            </w:pPr>
            <w:r>
              <w:t>教学形式</w:t>
            </w:r>
          </w:p>
        </w:tc>
        <w:tc>
          <w:p w14:paraId="7BC140CE">
            <w:pPr>
              <w:jc w:val="left"/>
            </w:pPr>
            <w:r>
              <w:t>在线教学（学习通平台）</w:t>
            </w:r>
          </w:p>
        </w:tc>
      </w:tr>
      <w:tr w14:paraId="612C51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20" w:type="dxa"/>
            <w:bottom w:w="80" w:type="dxa"/>
            <w:right w:w="120" w:type="dxa"/>
          </w:tblCellMar>
        </w:tblPrEx>
        <w:tc>
          <w:p w14:paraId="7F64E898">
            <w:pPr>
              <w:jc w:val="left"/>
            </w:pPr>
            <w:r>
              <w:t>教学投入</w:t>
            </w:r>
          </w:p>
        </w:tc>
        <w:tc>
          <w:p w14:paraId="4C54DA06">
            <w:pPr>
              <w:jc w:val="left"/>
            </w:pPr>
            <w:r>
              <w:t>微课《认识四类展位》；《会展英语》Unit3 Lead‑in阅读词汇材料；香港玩具展展位申请表样本；预习任务单；展位实景图片集</w:t>
            </w:r>
          </w:p>
        </w:tc>
      </w:tr>
      <w:tr w14:paraId="7409D9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20" w:type="dxa"/>
            <w:bottom w:w="80" w:type="dxa"/>
            <w:right w:w="120" w:type="dxa"/>
          </w:tblCellMar>
        </w:tblPrEx>
        <w:tc>
          <w:p w14:paraId="14F60403">
            <w:pPr>
              <w:jc w:val="left"/>
            </w:pPr>
            <w:r>
              <w:t>课程思政</w:t>
            </w:r>
          </w:p>
        </w:tc>
        <w:tc>
          <w:p w14:paraId="061C6EF1">
            <w:pPr>
              <w:jc w:val="left"/>
            </w:pPr>
            <w:r>
              <w:t>企业参展签订展位申请，要恪守契约精神，重视合同约定的退改条款，树立诚信履约职业观念。</w:t>
            </w:r>
          </w:p>
        </w:tc>
      </w:tr>
      <w:tr w14:paraId="72C480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20" w:type="dxa"/>
            <w:bottom w:w="80" w:type="dxa"/>
            <w:right w:w="120" w:type="dxa"/>
          </w:tblCellMar>
        </w:tblPrEx>
        <w:tc>
          <w:p w14:paraId="5BED85BF">
            <w:pPr>
              <w:jc w:val="left"/>
            </w:pPr>
            <w:r>
              <w:t>AI赋能</w:t>
            </w:r>
          </w:p>
        </w:tc>
        <w:tc>
          <w:p w14:paraId="24E3214C">
            <w:pPr>
              <w:jc w:val="left"/>
            </w:pPr>
            <w:r>
              <w:t>AI生成四类展位对比表格；AI生成展位申请表填写易错点清单。</w:t>
            </w:r>
          </w:p>
        </w:tc>
      </w:tr>
      <w:tr w14:paraId="7CDB1A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p w14:paraId="7FA81268">
            <w:pPr>
              <w:jc w:val="left"/>
            </w:pPr>
            <w:r>
              <w:t>教师活动</w:t>
            </w:r>
          </w:p>
        </w:tc>
        <w:tc>
          <w:p w14:paraId="5D65782C">
            <w:pPr>
              <w:jc w:val="left"/>
            </w:pPr>
            <w:r>
              <w:t>（1）学习通发布预习微课、Unit3预习阅读材料；（2）上传展位申请表样本，布置预习任务，识别表单栏目；（3）发布课前小测，考查展位基础概念。</w:t>
            </w:r>
          </w:p>
        </w:tc>
      </w:tr>
      <w:tr w14:paraId="307A3D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20" w:type="dxa"/>
            <w:bottom w:w="80" w:type="dxa"/>
            <w:right w:w="120" w:type="dxa"/>
          </w:tblCellMar>
        </w:tblPrEx>
        <w:tc>
          <w:p w14:paraId="1F90E092">
            <w:pPr>
              <w:jc w:val="left"/>
            </w:pPr>
            <w:r>
              <w:t>学生活动</w:t>
            </w:r>
          </w:p>
        </w:tc>
        <w:tc>
          <w:p w14:paraId="7818C7D4">
            <w:pPr>
              <w:jc w:val="left"/>
            </w:pPr>
            <w:r>
              <w:t>（1）观看微课，识记4种展位类型英文术语；（2）浏览展位申请表样本，标记看不懂的栏目；（3）完成课前小测。</w:t>
            </w:r>
          </w:p>
        </w:tc>
      </w:tr>
      <w:tr w14:paraId="75D899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20" w:type="dxa"/>
            <w:bottom w:w="80" w:type="dxa"/>
            <w:right w:w="120" w:type="dxa"/>
          </w:tblCellMar>
        </w:tblPrEx>
        <w:tc>
          <w:p w14:paraId="5250AD66">
            <w:pPr>
              <w:jc w:val="left"/>
            </w:pPr>
            <w:r>
              <w:t>学情分析</w:t>
            </w:r>
          </w:p>
        </w:tc>
        <w:tc>
          <w:p w14:paraId="30EC0A7D">
            <w:pPr>
              <w:jc w:val="left"/>
            </w:pPr>
            <w:r>
              <w:t>学生对标准展位有简单认知，但对转角、半岛、岛型展位特点、价格差异不熟悉；对境外英文展位申请表栏目、退订附加条款理解薄弱；容易忽略申请表签字盖章等契约要素。</w:t>
            </w:r>
          </w:p>
        </w:tc>
      </w:tr>
    </w:tbl>
    <w:p w14:paraId="7AD52F0E">
      <w:pPr>
        <w:spacing w:before="240"/>
      </w:pPr>
      <w:r>
        <w:t xml:space="preserve"> </w:t>
      </w:r>
    </w:p>
    <w:p w14:paraId="3CE105C2">
      <w:pPr>
        <w:spacing w:after="200"/>
      </w:pPr>
      <w:r>
        <w:t xml:space="preserve"> </w:t>
      </w:r>
    </w:p>
    <w:p w14:paraId="3CD54A3B">
      <w:pPr>
        <w:pStyle w:val="4"/>
        <w:spacing w:after="200"/>
        <w:jc w:val="left"/>
      </w:pPr>
      <w:r>
        <w:t>课中</w:t>
      </w:r>
    </w:p>
    <w:p w14:paraId="421EEA7B">
      <w:pPr>
        <w:spacing w:after="240"/>
      </w:pPr>
      <w:r>
        <w:t xml:space="preserve"> </w:t>
      </w:r>
    </w:p>
    <w:tbl>
      <w:tblPr>
        <w:tblStyle w:val="10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80" w:type="dxa"/>
          <w:left w:w="120" w:type="dxa"/>
          <w:bottom w:w="80" w:type="dxa"/>
          <w:right w:w="120" w:type="dxa"/>
        </w:tblCellMar>
      </w:tblPr>
      <w:tblGrid>
        <w:gridCol w:w="1834"/>
        <w:gridCol w:w="7182"/>
      </w:tblGrid>
      <w:tr w14:paraId="0C5688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blHeader/>
        </w:trPr>
        <w:tc>
          <w:p w14:paraId="495CD019">
            <w:pPr>
              <w:jc w:val="left"/>
            </w:pPr>
            <w:r>
              <w:rPr>
                <w:b/>
                <w:bCs/>
              </w:rPr>
              <w:t>项目</w:t>
            </w:r>
          </w:p>
        </w:tc>
        <w:tc>
          <w:p w14:paraId="262E4C5E">
            <w:pPr>
              <w:jc w:val="left"/>
            </w:pPr>
            <w:r>
              <w:rPr>
                <w:b/>
                <w:bCs/>
              </w:rPr>
              <w:t>内容</w:t>
            </w:r>
          </w:p>
        </w:tc>
      </w:tr>
      <w:tr w14:paraId="2C74DF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20" w:type="dxa"/>
            <w:bottom w:w="80" w:type="dxa"/>
            <w:right w:w="120" w:type="dxa"/>
          </w:tblCellMar>
        </w:tblPrEx>
        <w:tc>
          <w:p w14:paraId="1E5AA15A">
            <w:pPr>
              <w:jc w:val="left"/>
            </w:pPr>
            <w:r>
              <w:t>教学形式</w:t>
            </w:r>
          </w:p>
        </w:tc>
        <w:tc>
          <w:p w14:paraId="5084B5F4">
            <w:pPr>
              <w:jc w:val="left"/>
            </w:pPr>
            <w:r>
              <w:t>实践教学（案例讲解+表单实操+情景角色扮演）</w:t>
            </w:r>
          </w:p>
        </w:tc>
      </w:tr>
      <w:tr w14:paraId="665B8F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20" w:type="dxa"/>
            <w:bottom w:w="80" w:type="dxa"/>
            <w:right w:w="120" w:type="dxa"/>
          </w:tblCellMar>
        </w:tblPrEx>
        <w:tc>
          <w:p w14:paraId="19BC5AE4">
            <w:pPr>
              <w:jc w:val="left"/>
            </w:pPr>
            <w:r>
              <w:t>教学投入</w:t>
            </w:r>
          </w:p>
        </w:tc>
        <w:tc>
          <w:p w14:paraId="6955B411">
            <w:pPr>
              <w:jc w:val="left"/>
            </w:pPr>
            <w:r>
              <w:t>多媒体课件；4类展位实景图片与平面示意图；香港玩具展展位申请表纸质/电子样表；角色扮演任务卡；评价打分表；《会展英语》Unit3对话文本素材</w:t>
            </w:r>
          </w:p>
        </w:tc>
      </w:tr>
    </w:tbl>
    <w:p w14:paraId="510FB23A">
      <w:pPr>
        <w:spacing w:before="240"/>
      </w:pPr>
      <w:r>
        <w:t xml:space="preserve"> </w:t>
      </w:r>
    </w:p>
    <w:p w14:paraId="60D4B521">
      <w:pPr>
        <w:spacing w:after="200"/>
      </w:pPr>
      <w:r>
        <w:t xml:space="preserve"> </w:t>
      </w:r>
    </w:p>
    <w:tbl>
      <w:tblPr>
        <w:tblStyle w:val="10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80" w:type="dxa"/>
          <w:left w:w="120" w:type="dxa"/>
          <w:bottom w:w="80" w:type="dxa"/>
          <w:right w:w="120" w:type="dxa"/>
        </w:tblCellMar>
      </w:tblPr>
      <w:tblGrid>
        <w:gridCol w:w="1133"/>
        <w:gridCol w:w="2401"/>
        <w:gridCol w:w="1676"/>
        <w:gridCol w:w="1495"/>
        <w:gridCol w:w="1042"/>
        <w:gridCol w:w="1269"/>
      </w:tblGrid>
      <w:tr w14:paraId="2CD20E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blHeader/>
        </w:trPr>
        <w:tc>
          <w:p w14:paraId="60798694">
            <w:pPr>
              <w:jc w:val="left"/>
            </w:pPr>
            <w:r>
              <w:rPr>
                <w:b/>
                <w:bCs/>
              </w:rPr>
              <w:t>教学环节</w:t>
            </w:r>
          </w:p>
        </w:tc>
        <w:tc>
          <w:p w14:paraId="700036BE">
            <w:pPr>
              <w:jc w:val="left"/>
            </w:pPr>
            <w:r>
              <w:rPr>
                <w:b/>
                <w:bCs/>
              </w:rPr>
              <w:t>教师活动</w:t>
            </w:r>
          </w:p>
        </w:tc>
        <w:tc>
          <w:p w14:paraId="68D1EBA6">
            <w:pPr>
              <w:jc w:val="left"/>
            </w:pPr>
            <w:r>
              <w:rPr>
                <w:b/>
                <w:bCs/>
              </w:rPr>
              <w:t>学生活动</w:t>
            </w:r>
          </w:p>
        </w:tc>
        <w:tc>
          <w:p w14:paraId="1F1836B6">
            <w:pPr>
              <w:jc w:val="left"/>
            </w:pPr>
            <w:r>
              <w:rPr>
                <w:b/>
                <w:bCs/>
              </w:rPr>
              <w:t>课程思政</w:t>
            </w:r>
          </w:p>
        </w:tc>
        <w:tc>
          <w:p w14:paraId="6BA6E85A">
            <w:pPr>
              <w:jc w:val="left"/>
            </w:pPr>
            <w:r>
              <w:rPr>
                <w:b/>
                <w:bCs/>
              </w:rPr>
              <w:t>教学策略</w:t>
            </w:r>
          </w:p>
        </w:tc>
        <w:tc>
          <w:p w14:paraId="67198672">
            <w:pPr>
              <w:jc w:val="left"/>
            </w:pPr>
            <w:r>
              <w:rPr>
                <w:b/>
                <w:bCs/>
              </w:rPr>
              <w:t>AI赋能</w:t>
            </w:r>
          </w:p>
        </w:tc>
      </w:tr>
      <w:tr w14:paraId="3B7E1F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20" w:type="dxa"/>
            <w:bottom w:w="80" w:type="dxa"/>
            <w:right w:w="120" w:type="dxa"/>
          </w:tblCellMar>
        </w:tblPrEx>
        <w:tc>
          <w:p w14:paraId="203BAE4C">
            <w:pPr>
              <w:jc w:val="left"/>
            </w:pPr>
            <w:r>
              <w:t>环节一 情景导入（8′）</w:t>
            </w:r>
          </w:p>
        </w:tc>
        <w:tc>
          <w:p w14:paraId="3D96C895">
            <w:pPr>
              <w:jc w:val="left"/>
            </w:pPr>
            <w:r>
              <w:t>展示不同展位实景图片，提出思考：同样面积的展位，为什么价格差异很大？引出4类不同展位。</w:t>
            </w:r>
          </w:p>
        </w:tc>
        <w:tc>
          <w:p w14:paraId="594DCB5A">
            <w:pPr>
              <w:jc w:val="left"/>
            </w:pPr>
            <w:r>
              <w:t>观察图片，小组讨论，说出直观感受，猜想价格差异原因。</w:t>
            </w:r>
          </w:p>
        </w:tc>
        <w:tc>
          <w:p w14:paraId="158A595C">
            <w:pPr>
              <w:jc w:val="left"/>
            </w:pPr>
            <w:r>
              <w:t>引导学生理解展位选择要匹配企业预算，理性消费，不盲目追求高价展位。</w:t>
            </w:r>
          </w:p>
        </w:tc>
        <w:tc>
          <w:p w14:paraId="05F4E4E4">
            <w:pPr>
              <w:jc w:val="left"/>
            </w:pPr>
            <w:r>
              <w:t>情景导入法、图片案例教学法</w:t>
            </w:r>
          </w:p>
        </w:tc>
        <w:tc>
          <w:p w14:paraId="7520AFC8">
            <w:pPr>
              <w:jc w:val="left"/>
            </w:pPr>
            <w:r>
              <w:t>AI调取各类展位实景图片、平面示意图投屏展示。</w:t>
            </w:r>
          </w:p>
        </w:tc>
      </w:tr>
      <w:tr w14:paraId="744A08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20" w:type="dxa"/>
            <w:bottom w:w="80" w:type="dxa"/>
            <w:right w:w="120" w:type="dxa"/>
          </w:tblCellMar>
        </w:tblPrEx>
        <w:tc>
          <w:p w14:paraId="1DEE6F6B">
            <w:pPr>
              <w:jc w:val="left"/>
            </w:pPr>
            <w:r>
              <w:t>环节二 展位类型精讲（20′）</w:t>
            </w:r>
          </w:p>
        </w:tc>
        <w:tc>
          <w:p w14:paraId="2536CBFD">
            <w:pPr>
              <w:jc w:val="left"/>
            </w:pPr>
            <w:r>
              <w:t>结合教材Unit3阅读文本，讲解线型、转角、半岛、岛型展位的位置、开放通道面、优缺点、价格；对比四类展位适用参展企业场景。</w:t>
            </w:r>
          </w:p>
        </w:tc>
        <w:tc>
          <w:p w14:paraId="1A0DB4AB">
            <w:pPr>
              <w:jc w:val="left"/>
            </w:pPr>
            <w:r>
              <w:t>完成“四类展位对比对照表”，记录每类展位适合什么类型企业。</w:t>
            </w:r>
          </w:p>
        </w:tc>
        <w:tc>
          <w:p w14:paraId="4E686A83">
            <w:pPr>
              <w:jc w:val="left"/>
            </w:pPr>
            <w:r>
              <w:t>树立业务匹配思维：合适的展位不等于最贵的展位。</w:t>
            </w:r>
          </w:p>
        </w:tc>
        <w:tc>
          <w:p w14:paraId="52965365">
            <w:pPr>
              <w:jc w:val="left"/>
            </w:pPr>
            <w:r>
              <w:t>讲授法、对比分析法</w:t>
            </w:r>
          </w:p>
        </w:tc>
        <w:tc>
          <w:p w14:paraId="27EC88A0">
            <w:pPr>
              <w:jc w:val="left"/>
            </w:pPr>
            <w:r>
              <w:t>AI生成展位对比表格投屏，辅助学生整理笔记。</w:t>
            </w:r>
          </w:p>
        </w:tc>
      </w:tr>
      <w:tr w14:paraId="2B07EA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20" w:type="dxa"/>
            <w:bottom w:w="80" w:type="dxa"/>
            <w:right w:w="120" w:type="dxa"/>
          </w:tblCellMar>
        </w:tblPrEx>
        <w:tc>
          <w:p w14:paraId="6F791F75">
            <w:pPr>
              <w:jc w:val="left"/>
            </w:pPr>
            <w:r>
              <w:t>环节三 展位申请表研读与填写训练（22′）</w:t>
            </w:r>
          </w:p>
        </w:tc>
        <w:tc>
          <w:p w14:paraId="51A084FC">
            <w:pPr>
              <w:jc w:val="left"/>
            </w:pPr>
            <w:r>
              <w:t>结合香港玩具展Booth Application Form样本，逐栏讲解参展商信息、展品类别、展位选型、特殊位置附加费、付款、签字盖章栏目；演示完整填写流程；展示几份填写错误的申请表，组织纠错。</w:t>
            </w:r>
          </w:p>
        </w:tc>
        <w:tc>
          <w:p w14:paraId="45EA480E">
            <w:pPr>
              <w:jc w:val="left"/>
            </w:pPr>
            <w:r>
              <w:t>研读英文展位申请表；完成表单模拟填写；小组找出错误申请表中的问题并修改。</w:t>
            </w:r>
          </w:p>
        </w:tc>
        <w:tc>
          <w:p w14:paraId="3C5BA64D">
            <w:pPr>
              <w:jc w:val="left"/>
            </w:pPr>
            <w:r>
              <w:t>强调商务单证严谨，表单信息真实完整，重视盖章签字的契约效力。</w:t>
            </w:r>
          </w:p>
        </w:tc>
        <w:tc>
          <w:p w14:paraId="5847E3A0">
            <w:pPr>
              <w:jc w:val="left"/>
            </w:pPr>
            <w:r>
              <w:t>任务驱动教学法、纠错训练法</w:t>
            </w:r>
          </w:p>
        </w:tc>
        <w:tc>
          <w:p w14:paraId="26E24DFB">
            <w:pPr>
              <w:jc w:val="left"/>
            </w:pPr>
            <w:r>
              <w:t>AI高亮申请表关键栏目、风险条款，提示易错位置。</w:t>
            </w:r>
          </w:p>
        </w:tc>
      </w:tr>
      <w:tr w14:paraId="615162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p w14:paraId="3AF9A883">
            <w:pPr>
              <w:jc w:val="left"/>
            </w:pPr>
            <w:r>
              <w:t>环节四 情景角色扮演实训（30′）</w:t>
            </w:r>
          </w:p>
        </w:tc>
        <w:tc>
          <w:p w14:paraId="43B3CEE4">
            <w:pPr>
              <w:jc w:val="left"/>
            </w:pPr>
            <w:r>
              <w:t>下发角色任务卡：场景1：VIP客户申请展位争取折扣；场景2：申请变更展位类型；场景3：因企业突发事故取消展位预订；分组轮换角色，开展电话对话演练，下发互评打分表。</w:t>
            </w:r>
          </w:p>
        </w:tc>
        <w:tc>
          <w:p w14:paraId="6995E994">
            <w:pPr>
              <w:jc w:val="left"/>
            </w:pPr>
            <w:r>
              <w:t>小组分工，分别扮演组展方业务员、参展企业市场经理，完成三段情景对话，其他小组互评。</w:t>
            </w:r>
          </w:p>
        </w:tc>
        <w:tc>
          <w:p w14:paraId="5DC5EBFF">
            <w:pPr>
              <w:jc w:val="left"/>
            </w:pPr>
            <w:r>
              <w:t>遇到业务突发状况要依规沟通，坚守合同规则同时体现服务意识。</w:t>
            </w:r>
          </w:p>
        </w:tc>
        <w:tc>
          <w:p w14:paraId="3904C20C">
            <w:pPr>
              <w:jc w:val="left"/>
            </w:pPr>
            <w:r>
              <w:t>项目化教学、角色扮演、同伴互评法</w:t>
            </w:r>
          </w:p>
        </w:tc>
        <w:tc>
          <w:p w14:paraId="0B995A43">
            <w:pPr>
              <w:jc w:val="left"/>
            </w:pPr>
            <w:r>
              <w:t>AI生成角色扮演参考提示，禁止直接复制对话成品。</w:t>
            </w:r>
          </w:p>
        </w:tc>
      </w:tr>
      <w:tr w14:paraId="5F8394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20" w:type="dxa"/>
            <w:bottom w:w="80" w:type="dxa"/>
            <w:right w:w="120" w:type="dxa"/>
          </w:tblCellMar>
        </w:tblPrEx>
        <w:tc>
          <w:p w14:paraId="26E5E743">
            <w:pPr>
              <w:jc w:val="left"/>
            </w:pPr>
            <w:r>
              <w:t>环节五 课堂总结（10′）</w:t>
            </w:r>
          </w:p>
        </w:tc>
        <w:tc>
          <w:p w14:paraId="57BE0ABE">
            <w:pPr>
              <w:jc w:val="left"/>
            </w:pPr>
            <w:r>
              <w:t>梳理展位选型要点、申请表填写注意事项、退订退费核心风险点；答疑。</w:t>
            </w:r>
          </w:p>
        </w:tc>
        <w:tc>
          <w:p w14:paraId="643669C3">
            <w:pPr>
              <w:jc w:val="left"/>
            </w:pPr>
            <w:r>
              <w:t>记录课堂要点，对照反思本组角色扮演存在的不足。</w:t>
            </w:r>
          </w:p>
        </w:tc>
        <w:tc>
          <w:p w14:paraId="1D1FF951">
            <w:pPr>
              <w:jc w:val="left"/>
            </w:pPr>
            <w:r>
              <w:t>会展岗位要有风险预判意识，关注合同细则。</w:t>
            </w:r>
          </w:p>
        </w:tc>
        <w:tc>
          <w:p w14:paraId="7461A7C4">
            <w:pPr>
              <w:jc w:val="left"/>
            </w:pPr>
            <w:r>
              <w:t>归纳总结法</w:t>
            </w:r>
          </w:p>
        </w:tc>
        <w:tc>
          <w:p w14:paraId="1DAE0F22">
            <w:pPr>
              <w:jc w:val="left"/>
            </w:pPr>
            <w:r>
              <w:t>AI生成本节课思维导图，课后供下载复习。</w:t>
            </w:r>
          </w:p>
        </w:tc>
      </w:tr>
    </w:tbl>
    <w:p w14:paraId="4D9F29DE">
      <w:pPr>
        <w:spacing w:before="240"/>
      </w:pPr>
      <w:r>
        <w:t xml:space="preserve"> </w:t>
      </w:r>
    </w:p>
    <w:p w14:paraId="5DB7594E">
      <w:pPr>
        <w:spacing w:after="200"/>
      </w:pPr>
      <w:r>
        <w:t xml:space="preserve"> </w:t>
      </w:r>
    </w:p>
    <w:p w14:paraId="15C23D1F">
      <w:pPr>
        <w:pStyle w:val="4"/>
        <w:spacing w:after="200"/>
        <w:jc w:val="left"/>
      </w:pPr>
      <w:r>
        <w:t>课后</w:t>
      </w:r>
    </w:p>
    <w:p w14:paraId="17BA5FE1">
      <w:pPr>
        <w:spacing w:after="240"/>
      </w:pPr>
      <w:r>
        <w:t xml:space="preserve"> </w:t>
      </w:r>
    </w:p>
    <w:tbl>
      <w:tblPr>
        <w:tblStyle w:val="10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80" w:type="dxa"/>
          <w:left w:w="120" w:type="dxa"/>
          <w:bottom w:w="80" w:type="dxa"/>
          <w:right w:w="120" w:type="dxa"/>
        </w:tblCellMar>
      </w:tblPr>
      <w:tblGrid>
        <w:gridCol w:w="1899"/>
        <w:gridCol w:w="7117"/>
      </w:tblGrid>
      <w:tr w14:paraId="46DBD9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20" w:type="dxa"/>
            <w:bottom w:w="80" w:type="dxa"/>
            <w:right w:w="120" w:type="dxa"/>
          </w:tblCellMar>
        </w:tblPrEx>
        <w:trPr>
          <w:tblHeader/>
        </w:trPr>
        <w:tc>
          <w:p w14:paraId="4B570532">
            <w:pPr>
              <w:jc w:val="left"/>
            </w:pPr>
            <w:r>
              <w:rPr>
                <w:b/>
                <w:bCs/>
              </w:rPr>
              <w:t>项目</w:t>
            </w:r>
          </w:p>
        </w:tc>
        <w:tc>
          <w:p w14:paraId="067EB905">
            <w:pPr>
              <w:jc w:val="left"/>
            </w:pPr>
            <w:r>
              <w:rPr>
                <w:b/>
                <w:bCs/>
              </w:rPr>
              <w:t>内容</w:t>
            </w:r>
          </w:p>
        </w:tc>
      </w:tr>
      <w:tr w14:paraId="1D68BA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20" w:type="dxa"/>
            <w:bottom w:w="80" w:type="dxa"/>
            <w:right w:w="120" w:type="dxa"/>
          </w:tblCellMar>
        </w:tblPrEx>
        <w:tc>
          <w:p w14:paraId="7A797B25">
            <w:pPr>
              <w:jc w:val="left"/>
            </w:pPr>
            <w:r>
              <w:t>学业评价</w:t>
            </w:r>
          </w:p>
        </w:tc>
        <w:tc>
          <w:p w14:paraId="54ED0A20">
            <w:pPr>
              <w:jc w:val="left"/>
            </w:pPr>
            <w:r>
              <w:t>展位申请表填写实操45% + 角色扮演展示35% + 课前小测20%</w:t>
            </w:r>
          </w:p>
        </w:tc>
      </w:tr>
      <w:tr w14:paraId="670248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20" w:type="dxa"/>
            <w:bottom w:w="80" w:type="dxa"/>
            <w:right w:w="120" w:type="dxa"/>
          </w:tblCellMar>
        </w:tblPrEx>
        <w:tc>
          <w:p w14:paraId="18AF685C">
            <w:pPr>
              <w:jc w:val="left"/>
            </w:pPr>
            <w:r>
              <w:t>教学形式</w:t>
            </w:r>
          </w:p>
        </w:tc>
        <w:tc>
          <w:p w14:paraId="33DB5AB1">
            <w:pPr>
              <w:jc w:val="left"/>
            </w:pPr>
            <w:r>
              <w:t>在线教学（学习通+微信群）</w:t>
            </w:r>
          </w:p>
        </w:tc>
      </w:tr>
      <w:tr w14:paraId="5BA933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20" w:type="dxa"/>
            <w:bottom w:w="80" w:type="dxa"/>
            <w:right w:w="120" w:type="dxa"/>
          </w:tblCellMar>
        </w:tblPrEx>
        <w:tc>
          <w:p w14:paraId="228B6CAC">
            <w:pPr>
              <w:jc w:val="left"/>
            </w:pPr>
            <w:r>
              <w:t>教学投入</w:t>
            </w:r>
          </w:p>
        </w:tc>
        <w:tc>
          <w:p w14:paraId="07F74838">
            <w:pPr>
              <w:jc w:val="left"/>
            </w:pPr>
            <w:r>
              <w:t>《会展英语》Unit3拓展阅读；更多境外展会展位申请表范例；展位申请常见问题文档。</w:t>
            </w:r>
          </w:p>
        </w:tc>
      </w:tr>
      <w:tr w14:paraId="3E64F6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20" w:type="dxa"/>
            <w:bottom w:w="80" w:type="dxa"/>
            <w:right w:w="120" w:type="dxa"/>
          </w:tblCellMar>
        </w:tblPrEx>
        <w:tc>
          <w:p w14:paraId="1E98077D">
            <w:pPr>
              <w:jc w:val="left"/>
            </w:pPr>
            <w:r>
              <w:t>课程思政</w:t>
            </w:r>
          </w:p>
        </w:tc>
        <w:tc>
          <w:p w14:paraId="7F815531">
            <w:pPr>
              <w:jc w:val="left"/>
            </w:pPr>
            <w:r>
              <w:t>对外参展要仔细阅读境外展会全部合同条款，增强涉外业务契约风险意识。</w:t>
            </w:r>
          </w:p>
        </w:tc>
      </w:tr>
      <w:tr w14:paraId="68DA62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20" w:type="dxa"/>
            <w:bottom w:w="80" w:type="dxa"/>
            <w:right w:w="120" w:type="dxa"/>
          </w:tblCellMar>
        </w:tblPrEx>
        <w:tc>
          <w:p w14:paraId="31FF346D">
            <w:pPr>
              <w:jc w:val="left"/>
            </w:pPr>
            <w:r>
              <w:t>AI赋能</w:t>
            </w:r>
          </w:p>
        </w:tc>
        <w:tc>
          <w:p w14:paraId="40A017D2">
            <w:pPr>
              <w:jc w:val="left"/>
            </w:pPr>
            <w:r>
              <w:t>学生借助AI辅助读懂申请表英文难点，但是表单填写内容必须自己独立完成。</w:t>
            </w:r>
          </w:p>
        </w:tc>
      </w:tr>
      <w:tr w14:paraId="33AAFD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20" w:type="dxa"/>
            <w:bottom w:w="80" w:type="dxa"/>
            <w:right w:w="120" w:type="dxa"/>
          </w:tblCellMar>
        </w:tblPrEx>
        <w:tc>
          <w:p w14:paraId="0616D888">
            <w:pPr>
              <w:jc w:val="left"/>
            </w:pPr>
            <w:r>
              <w:t>教师活动</w:t>
            </w:r>
          </w:p>
        </w:tc>
        <w:tc>
          <w:p w14:paraId="7C155D4D">
            <w:pPr>
              <w:jc w:val="left"/>
            </w:pPr>
            <w:r>
              <w:t>（1）批改学生填写的展位申请表，标注共性错误，上传优秀作业范例；（2）线上答疑；（3）发布Unit3课后习题。</w:t>
            </w:r>
          </w:p>
        </w:tc>
      </w:tr>
      <w:tr w14:paraId="7C1392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p w14:paraId="6DB02BBE">
            <w:pPr>
              <w:jc w:val="left"/>
            </w:pPr>
            <w:r>
              <w:t>学生活动</w:t>
            </w:r>
          </w:p>
        </w:tc>
        <w:tc>
          <w:p w14:paraId="745C9148">
            <w:pPr>
              <w:jc w:val="left"/>
            </w:pPr>
            <w:r>
              <w:t>（1）完善展位申请表作业并提交；（2）复习三类情景对话，录制一段展位取消预订模拟音频上传学习通；（3）完成教材Unit3配套习题。</w:t>
            </w:r>
          </w:p>
        </w:tc>
      </w:tr>
      <w:tr w14:paraId="59FA25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20" w:type="dxa"/>
            <w:bottom w:w="80" w:type="dxa"/>
            <w:right w:w="120" w:type="dxa"/>
          </w:tblCellMar>
        </w:tblPrEx>
        <w:tc>
          <w:p w14:paraId="34EEEEB5">
            <w:pPr>
              <w:jc w:val="left"/>
            </w:pPr>
            <w:r>
              <w:t>课后反思</w:t>
            </w:r>
          </w:p>
        </w:tc>
        <w:tc>
          <w:p w14:paraId="5ABD7057">
            <w:pPr>
              <w:jc w:val="left"/>
            </w:pPr>
            <w:r>
              <w:t>学生对特殊展位附加费、退订退费条款理解不到位，后续综合实训课强化合同风险点训练。</w:t>
            </w:r>
          </w:p>
        </w:tc>
      </w:tr>
    </w:tbl>
    <w:p w14:paraId="50D201ED">
      <w:pPr>
        <w:spacing w:before="240"/>
      </w:pPr>
      <w:r>
        <w:t xml:space="preserve"> </w:t>
      </w:r>
    </w:p>
    <w:p w14:paraId="4B0A244F">
      <w:pPr>
        <w:spacing w:after="200"/>
      </w:pPr>
      <w:r>
        <w:t xml:space="preserve"> </w:t>
      </w:r>
    </w:p>
    <w:p w14:paraId="4B7BDBC1">
      <w:pPr>
        <w:spacing w:after="120"/>
        <w:jc w:val="left"/>
      </w:pPr>
      <w:r>
        <w:rPr>
          <w:b/>
          <w:bCs/>
        </w:rPr>
        <w:t>教学产出</w:t>
      </w:r>
      <w:r>
        <w:t>：四类展位对比对照表；模拟填写完成的英文展位申请表；角色扮演音频作业；《会展英语》Unit3课后习题作业
</w:t>
      </w:r>
      <w:r>
        <w:br w:type="textWrapping"/>
      </w:r>
      <w:r>
        <w:rPr>
          <w:b/>
          <w:bCs/>
        </w:rPr>
        <w:t>教学考核</w:t>
      </w:r>
      <w:r>
        <w:t>：（1）过程考核：课堂小组角色扮演、表单填写作业、线上任务；（2）本课成绩计入单元整体过程性评价。</w:t>
      </w:r>
    </w:p>
    <w:sectPr>
      <w:pgSz w:w="11906" w:h="16838"/>
      <w:pgMar w:top="1440" w:right="1440" w:bottom="1440" w:left="1440" w:header="708" w:footer="708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50B93BA"/>
    <w:multiLevelType w:val="singleLevel"/>
    <w:tmpl w:val="E50B93BA"/>
    <w:lvl w:ilvl="0" w:tentative="0">
      <w:start w:val="3"/>
      <w:numFmt w:val="decimal"/>
      <w:suff w:val="nothing"/>
      <w:lvlText w:val="（%1）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ompat>
    <w:useFELayout/>
    <w:compatSetting w:name="compatibilityMode" w:uri="http://schemas.microsoft.com/office/word" w:val="15"/>
  </w:compat>
  <w:rsids>
    <w:rsidRoot w:val="00000000"/>
    <w:rsid w:val="177E3384"/>
    <w:rsid w:val="213827F6"/>
    <w:rsid w:val="24D40A88"/>
    <w:rsid w:val="2F414F6C"/>
    <w:rsid w:val="32EE71B8"/>
    <w:rsid w:val="33A84543"/>
    <w:rsid w:val="3BEC0329"/>
    <w:rsid w:val="3C634773"/>
    <w:rsid w:val="4FD01CC8"/>
    <w:rsid w:val="53A50FBD"/>
    <w:rsid w:val="59545718"/>
    <w:rsid w:val="609E371C"/>
    <w:rsid w:val="61DA69D6"/>
    <w:rsid w:val="621023F8"/>
    <w:rsid w:val="681349F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iPriority="99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iPriority="99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sz w:val="24"/>
      <w:szCs w:val="24"/>
    </w:rPr>
  </w:style>
  <w:style w:type="paragraph" w:styleId="2">
    <w:name w:val="heading 1"/>
    <w:next w:val="1"/>
    <w:qFormat/>
    <w:uiPriority w:val="0"/>
    <w:pPr>
      <w:jc w:val="left"/>
    </w:pPr>
    <w:rPr>
      <w:b/>
      <w:bCs/>
      <w:color w:val="000000"/>
      <w:sz w:val="40"/>
      <w:szCs w:val="40"/>
    </w:rPr>
  </w:style>
  <w:style w:type="paragraph" w:styleId="3">
    <w:name w:val="heading 2"/>
    <w:next w:val="1"/>
    <w:qFormat/>
    <w:uiPriority w:val="0"/>
    <w:pPr>
      <w:jc w:val="left"/>
    </w:pPr>
    <w:rPr>
      <w:b/>
      <w:bCs/>
      <w:color w:val="000000"/>
      <w:sz w:val="36"/>
      <w:szCs w:val="36"/>
    </w:rPr>
  </w:style>
  <w:style w:type="paragraph" w:styleId="4">
    <w:name w:val="heading 3"/>
    <w:next w:val="1"/>
    <w:qFormat/>
    <w:uiPriority w:val="0"/>
    <w:pPr>
      <w:jc w:val="left"/>
    </w:pPr>
    <w:rPr>
      <w:b/>
      <w:bCs/>
      <w:color w:val="000000"/>
      <w:sz w:val="32"/>
      <w:szCs w:val="32"/>
    </w:rPr>
  </w:style>
  <w:style w:type="paragraph" w:styleId="5">
    <w:name w:val="heading 4"/>
    <w:next w:val="1"/>
    <w:qFormat/>
    <w:uiPriority w:val="0"/>
    <w:pPr>
      <w:jc w:val="left"/>
    </w:pPr>
    <w:rPr>
      <w:b/>
      <w:bCs/>
      <w:color w:val="000000"/>
      <w:sz w:val="28"/>
      <w:szCs w:val="28"/>
    </w:rPr>
  </w:style>
  <w:style w:type="paragraph" w:styleId="6">
    <w:name w:val="heading 5"/>
    <w:next w:val="1"/>
    <w:qFormat/>
    <w:uiPriority w:val="0"/>
    <w:pPr>
      <w:jc w:val="left"/>
    </w:pPr>
    <w:rPr>
      <w:b/>
      <w:bCs/>
      <w:color w:val="000000"/>
      <w:sz w:val="24"/>
      <w:szCs w:val="24"/>
    </w:rPr>
  </w:style>
  <w:style w:type="paragraph" w:styleId="7">
    <w:name w:val="heading 6"/>
    <w:next w:val="1"/>
    <w:qFormat/>
    <w:uiPriority w:val="0"/>
    <w:pPr>
      <w:jc w:val="left"/>
    </w:pPr>
    <w:rPr>
      <w:b/>
      <w:bCs/>
      <w:color w:val="000000"/>
      <w:sz w:val="20"/>
      <w:szCs w:val="20"/>
    </w:rPr>
  </w:style>
  <w:style w:type="character" w:default="1" w:styleId="11">
    <w:name w:val="Default Paragraph Font"/>
    <w:semiHidden/>
    <w:uiPriority w:val="0"/>
  </w:style>
  <w:style w:type="table" w:default="1" w:styleId="10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footnote text"/>
    <w:link w:val="15"/>
    <w:semiHidden/>
    <w:unhideWhenUsed/>
    <w:qFormat/>
    <w:uiPriority w:val="99"/>
    <w:pPr>
      <w:spacing w:after="0" w:line="240" w:lineRule="auto"/>
      <w:jc w:val="left"/>
    </w:pPr>
    <w:rPr>
      <w:sz w:val="20"/>
      <w:szCs w:val="20"/>
    </w:rPr>
  </w:style>
  <w:style w:type="paragraph" w:styleId="9">
    <w:name w:val="Title"/>
    <w:qFormat/>
    <w:uiPriority w:val="0"/>
    <w:pPr>
      <w:jc w:val="left"/>
    </w:pPr>
    <w:rPr>
      <w:sz w:val="56"/>
      <w:szCs w:val="56"/>
    </w:rPr>
  </w:style>
  <w:style w:type="character" w:styleId="12">
    <w:name w:val="Hyperlink"/>
    <w:unhideWhenUsed/>
    <w:uiPriority w:val="99"/>
    <w:rPr>
      <w:color w:val="0563C1"/>
      <w:u w:val="single"/>
    </w:rPr>
  </w:style>
  <w:style w:type="character" w:styleId="13">
    <w:name w:val="footnote reference"/>
    <w:semiHidden/>
    <w:unhideWhenUsed/>
    <w:qFormat/>
    <w:uiPriority w:val="99"/>
    <w:rPr>
      <w:vertAlign w:val="superscript"/>
    </w:rPr>
  </w:style>
  <w:style w:type="paragraph" w:styleId="14">
    <w:name w:val="List Paragraph"/>
    <w:qFormat/>
    <w:uiPriority w:val="0"/>
    <w:pPr>
      <w:jc w:val="left"/>
    </w:pPr>
    <w:rPr>
      <w:sz w:val="24"/>
      <w:szCs w:val="24"/>
    </w:rPr>
  </w:style>
  <w:style w:type="character" w:customStyle="1" w:styleId="15">
    <w:name w:val="Footnote Text Char"/>
    <w:link w:val="8"/>
    <w:semiHidden/>
    <w:unhideWhenUsed/>
    <w:qFormat/>
    <w:uiPriority w:val="99"/>
    <w:rPr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5</Pages>
  <Words>2535</Words>
  <Characters>2720</Characters>
  <TotalTime>1</TotalTime>
  <ScaleCrop>false</ScaleCrop>
  <LinksUpToDate>false</LinksUpToDate>
  <CharactersWithSpaces>2754</CharactersWithSpaces>
  <Application>WPS Office_12.1.0.28043_F1E327BC-269C-435d-A152-05C5408002CA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2026-08-29T05:34:00Z</dcterms:created>
  <dc:creator>Un-named</dc:creator>
  <cp:lastModifiedBy>Rose Qiu</cp:lastModifiedBy>
  <dcterms:modified xsi:type="dcterms:W3CDTF">2026-08-29T05:39:05Z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eyJoZGlkIjoiM2QyMDJlNWJhMWM4YmZjMDJmYTEwZDc3NjczNzY5ZDYiLCJ1c2VySWQiOiIyMzc5ODU3MDcifQ==</vt:lpwstr>
  </property>
  <property fmtid="{D5CDD505-2E9C-101B-9397-08002B2CF9AE}" pid="3" name="KSOProductBuildVer">
    <vt:lpwstr>2052-12.1.0.28043</vt:lpwstr>
  </property>
  <property fmtid="{D5CDD505-2E9C-101B-9397-08002B2CF9AE}" pid="4" name="ICV">
    <vt:lpwstr>07F68DC576434085AC4E59388F981781_13</vt:lpwstr>
  </property>
</Properties>
</file>