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A89C2">
      <w:pPr>
        <w:ind w:firstLine="1440" w:firstLineChars="400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>济宁“直播助农”模式线上调研报告</w:t>
      </w:r>
    </w:p>
    <w:p w14:paraId="0312659A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22198E99">
      <w:pPr>
        <w:bidi w:val="0"/>
        <w:rPr>
          <w:rFonts w:hint="eastAsia"/>
          <w:lang w:val="en-US" w:eastAsia="zh-CN"/>
        </w:rPr>
      </w:pPr>
    </w:p>
    <w:p w14:paraId="1E940F8E">
      <w:pPr>
        <w:bidi w:val="0"/>
        <w:rPr>
          <w:rFonts w:hint="eastAsia"/>
          <w:lang w:val="en-US" w:eastAsia="zh-CN"/>
        </w:rPr>
      </w:pPr>
    </w:p>
    <w:p w14:paraId="1E1ACB2F">
      <w:pPr>
        <w:bidi w:val="0"/>
        <w:rPr>
          <w:rFonts w:hint="eastAsia"/>
          <w:lang w:val="en-US" w:eastAsia="zh-CN"/>
        </w:rPr>
      </w:pPr>
    </w:p>
    <w:p w14:paraId="404F5BAD">
      <w:pPr>
        <w:bidi w:val="0"/>
        <w:rPr>
          <w:rFonts w:hint="eastAsia"/>
          <w:lang w:val="en-US" w:eastAsia="zh-CN"/>
        </w:rPr>
      </w:pPr>
    </w:p>
    <w:p w14:paraId="7D72B349">
      <w:pPr>
        <w:bidi w:val="0"/>
        <w:rPr>
          <w:rFonts w:hint="eastAsia"/>
          <w:lang w:val="en-US" w:eastAsia="zh-CN"/>
        </w:rPr>
      </w:pPr>
    </w:p>
    <w:p w14:paraId="170E7047">
      <w:pPr>
        <w:bidi w:val="0"/>
        <w:rPr>
          <w:rFonts w:hint="eastAsia"/>
          <w:lang w:val="en-US" w:eastAsia="zh-CN"/>
        </w:rPr>
      </w:pPr>
    </w:p>
    <w:p w14:paraId="4F01F7F4">
      <w:pPr>
        <w:bidi w:val="0"/>
        <w:rPr>
          <w:rFonts w:hint="eastAsia"/>
          <w:lang w:val="en-US" w:eastAsia="zh-CN"/>
        </w:rPr>
      </w:pPr>
    </w:p>
    <w:p w14:paraId="20D9A7AE"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p w14:paraId="6AD11692">
      <w:pPr>
        <w:bidi w:val="0"/>
        <w:rPr>
          <w:rFonts w:hint="eastAsia"/>
          <w:lang w:val="en-US" w:eastAsia="zh-CN"/>
        </w:rPr>
      </w:pPr>
    </w:p>
    <w:p w14:paraId="7C5653A6">
      <w:pPr>
        <w:bidi w:val="0"/>
        <w:rPr>
          <w:rFonts w:hint="eastAsia"/>
          <w:lang w:val="en-US" w:eastAsia="zh-CN"/>
        </w:rPr>
      </w:pPr>
    </w:p>
    <w:p w14:paraId="0B11D72B">
      <w:pPr>
        <w:bidi w:val="0"/>
        <w:rPr>
          <w:rFonts w:hint="eastAsia"/>
          <w:lang w:val="en-US" w:eastAsia="zh-CN"/>
        </w:rPr>
      </w:pPr>
    </w:p>
    <w:p w14:paraId="2DAE62D3">
      <w:pPr>
        <w:bidi w:val="0"/>
        <w:rPr>
          <w:rFonts w:hint="eastAsia"/>
          <w:lang w:val="en-US" w:eastAsia="zh-CN"/>
        </w:rPr>
      </w:pPr>
    </w:p>
    <w:p w14:paraId="0CCF0260">
      <w:pPr>
        <w:bidi w:val="0"/>
        <w:rPr>
          <w:rFonts w:hint="eastAsia"/>
          <w:lang w:val="en-US" w:eastAsia="zh-CN"/>
        </w:rPr>
      </w:pPr>
    </w:p>
    <w:p w14:paraId="42658B3B">
      <w:pPr>
        <w:bidi w:val="0"/>
        <w:rPr>
          <w:rFonts w:hint="eastAsia"/>
          <w:lang w:val="en-US" w:eastAsia="zh-CN"/>
        </w:rPr>
      </w:pPr>
    </w:p>
    <w:p w14:paraId="2D899EFF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  <w:t xml:space="preserve">                         </w:t>
      </w:r>
    </w:p>
    <w:p w14:paraId="1FDECCAE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lang w:val="en-US" w:eastAsia="zh-CN"/>
        </w:rPr>
      </w:pPr>
    </w:p>
    <w:p w14:paraId="6BA0A222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lang w:val="en-US" w:eastAsia="zh-CN"/>
        </w:rPr>
      </w:pPr>
    </w:p>
    <w:p w14:paraId="3DC1AF72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lang w:val="en-US" w:eastAsia="zh-CN"/>
        </w:rPr>
      </w:pPr>
    </w:p>
    <w:p w14:paraId="689E9ED8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lang w:val="en-US" w:eastAsia="zh-CN"/>
        </w:rPr>
      </w:pPr>
    </w:p>
    <w:p w14:paraId="3C27B498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lang w:val="en-US" w:eastAsia="zh-CN"/>
        </w:rPr>
      </w:pPr>
    </w:p>
    <w:p w14:paraId="59261EF2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lang w:val="en-US" w:eastAsia="zh-CN"/>
        </w:rPr>
      </w:pPr>
    </w:p>
    <w:p w14:paraId="31B43993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lang w:val="en-US" w:eastAsia="zh-CN"/>
        </w:rPr>
      </w:pPr>
    </w:p>
    <w:p w14:paraId="6BC969B9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lang w:val="en-US" w:eastAsia="zh-CN"/>
        </w:rPr>
      </w:pPr>
    </w:p>
    <w:p w14:paraId="38261EDF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lang w:val="en-US" w:eastAsia="zh-CN"/>
        </w:rPr>
      </w:pPr>
    </w:p>
    <w:p w14:paraId="68536357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lang w:val="en-US" w:eastAsia="zh-CN"/>
        </w:rPr>
      </w:pPr>
    </w:p>
    <w:p w14:paraId="53B26908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lang w:val="en-US" w:eastAsia="zh-CN"/>
        </w:rPr>
      </w:pPr>
    </w:p>
    <w:p w14:paraId="4FEF35CD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lang w:val="en-US" w:eastAsia="zh-CN"/>
        </w:rPr>
      </w:pPr>
    </w:p>
    <w:p w14:paraId="3FED74F4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lang w:val="en-US" w:eastAsia="zh-CN"/>
        </w:rPr>
      </w:pPr>
    </w:p>
    <w:p w14:paraId="53DCEFB6"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lang w:val="en-US" w:eastAsia="zh-CN"/>
        </w:rPr>
      </w:pPr>
    </w:p>
    <w:p w14:paraId="7D0F19BF">
      <w:pPr>
        <w:snapToGrid/>
        <w:spacing w:before="0" w:beforeAutospacing="0" w:after="0" w:afterAutospacing="0" w:line="240" w:lineRule="auto"/>
        <w:ind w:firstLine="1506" w:firstLineChars="500"/>
        <w:jc w:val="both"/>
        <w:textAlignment w:val="baseline"/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</w:pPr>
    </w:p>
    <w:p w14:paraId="3EE3CA37">
      <w:pPr>
        <w:snapToGrid/>
        <w:spacing w:before="0" w:beforeAutospacing="0" w:after="0" w:afterAutospacing="0" w:line="240" w:lineRule="auto"/>
        <w:ind w:firstLine="1506" w:firstLineChars="500"/>
        <w:jc w:val="both"/>
        <w:textAlignment w:val="baseline"/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</w:pPr>
    </w:p>
    <w:p w14:paraId="00AC7810">
      <w:pPr>
        <w:snapToGrid/>
        <w:spacing w:before="0" w:beforeAutospacing="0" w:after="0" w:afterAutospacing="0" w:line="240" w:lineRule="auto"/>
        <w:ind w:firstLine="1506" w:firstLineChars="500"/>
        <w:jc w:val="both"/>
        <w:textAlignment w:val="baseline"/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  <w:t>姓    名</w:t>
      </w:r>
      <w:r>
        <w:rPr>
          <w:rStyle w:val="6"/>
          <w:rFonts w:hint="eastAsia"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  <w:t>：</w:t>
      </w:r>
      <w:r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  <w:t xml:space="preserve">  </w:t>
      </w:r>
      <w:r>
        <w:rPr>
          <w:rStyle w:val="6"/>
          <w:rFonts w:hint="eastAsia"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  <w:t>董苏</w:t>
      </w:r>
      <w:r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  <w:t xml:space="preserve">   </w:t>
      </w:r>
    </w:p>
    <w:p w14:paraId="552BB916">
      <w:pPr>
        <w:tabs>
          <w:tab w:val="left" w:pos="2585"/>
        </w:tabs>
        <w:bidi w:val="0"/>
        <w:ind w:firstLine="1506" w:firstLineChars="500"/>
        <w:jc w:val="left"/>
        <w:rPr>
          <w:rFonts w:hint="eastAsia"/>
          <w:lang w:val="en-US" w:eastAsia="zh-CN"/>
        </w:rPr>
      </w:pPr>
      <w:r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  <w:t xml:space="preserve">学   </w:t>
      </w:r>
      <w:r>
        <w:rPr>
          <w:rStyle w:val="6"/>
          <w:rFonts w:hint="eastAsia"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  <w:t xml:space="preserve"> </w:t>
      </w:r>
      <w:r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  <w:t>号</w:t>
      </w:r>
      <w:r>
        <w:rPr>
          <w:rStyle w:val="6"/>
          <w:rFonts w:hint="eastAsia"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  <w:t xml:space="preserve">： </w:t>
      </w:r>
      <w:r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  <w:t xml:space="preserve"> </w:t>
      </w:r>
      <w:r>
        <w:rPr>
          <w:rStyle w:val="6"/>
          <w:rFonts w:hint="eastAsia"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  <w:t xml:space="preserve">202527010136 </w:t>
      </w:r>
      <w:r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30"/>
          <w:szCs w:val="30"/>
          <w:u w:val="none"/>
          <w:lang w:val="en-US" w:eastAsia="zh-CN" w:bidi="ar-SA"/>
        </w:rPr>
        <w:t xml:space="preserve">   </w:t>
      </w:r>
    </w:p>
    <w:p w14:paraId="7D69D3E2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2421005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</w:p>
    <w:p w14:paraId="2EF0F7F9">
      <w:pPr>
        <w:tabs>
          <w:tab w:val="left" w:pos="2585"/>
        </w:tabs>
        <w:bidi w:val="0"/>
        <w:jc w:val="lef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一、调研背景与目的</w:t>
      </w:r>
    </w:p>
    <w:p w14:paraId="64935DE4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2D658FEC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（一）调研背景</w:t>
      </w:r>
    </w:p>
    <w:p w14:paraId="38CCD481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3010E692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近年来，直播电商凭借低门槛、强互动、高转化的优势，成为乡村振兴的重要抓手。济宁作为农业大市，拥有金乡大蒜、微山湖小龙虾、曲阜香稻、邹城核桃等众多特色农产品，具备直播助农的天然资源优势。自2020年以来，济宁各地政府、企业与农户纷纷入局直播助农，试图通过数字化渠道破解农产品“卖难、价低、链短”的痛点，但实际落地过程中仍面临诸多现实挑战。</w:t>
      </w:r>
    </w:p>
    <w:p w14:paraId="38811FC9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01AA8C8E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（二）调研目的</w:t>
      </w:r>
    </w:p>
    <w:p w14:paraId="04F244BB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23DB8EBA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本次线上调研聚焦济宁本地直播助农模式，旨在：</w:t>
      </w:r>
    </w:p>
    <w:p w14:paraId="37D29433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37F8BBA8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梳理济宁直播助农的发展现状与实际成效；</w:t>
      </w:r>
    </w:p>
    <w:p w14:paraId="42B15394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</w:p>
    <w:p w14:paraId="34D5B221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识别当前模式下存在的核心问题与瓶颈；</w:t>
      </w:r>
    </w:p>
    <w:p w14:paraId="5CCFC355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</w:p>
    <w:p w14:paraId="077E0426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 结合济宁本地特色，提出针对性优化建议，为本地直播助农高质量发展提供参考。</w:t>
      </w:r>
    </w:p>
    <w:p w14:paraId="16D7AB84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20E545C9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 </w:t>
      </w:r>
    </w:p>
    <w:p w14:paraId="1574742A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372FDC7F">
      <w:pPr>
        <w:tabs>
          <w:tab w:val="left" w:pos="2585"/>
        </w:tabs>
        <w:bidi w:val="0"/>
        <w:jc w:val="left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二、调研方法与范围</w:t>
      </w:r>
    </w:p>
    <w:p w14:paraId="00353CF3">
      <w:pPr>
        <w:tabs>
          <w:tab w:val="left" w:pos="2585"/>
        </w:tabs>
        <w:bidi w:val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 xml:space="preserve"> </w:t>
      </w:r>
    </w:p>
    <w:p w14:paraId="63DA8BFB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（一）调研方法</w:t>
      </w:r>
    </w:p>
    <w:p w14:paraId="456836A6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0BD371E3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本次调研以线上调研为主，具体方式包括：</w:t>
      </w:r>
    </w:p>
    <w:p w14:paraId="078330E9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213B066B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公开数据收集：通过济宁市政府官网、商务局公开文件、统计年鉴，获取济宁农业产业规模、电商发展政策、农产品线上销售数据等信息；</w:t>
      </w:r>
    </w:p>
    <w:p w14:paraId="4041AF65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</w:p>
    <w:p w14:paraId="03C0FA29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平台数据观察：在抖音、快手、淘宝直播等平台，以“济宁助农”“金乡大蒜直播”“微山湖特产”等关键词检索，统计本地助农直播间数量、粉丝规模、直播频次、带货数据等；</w:t>
      </w:r>
    </w:p>
    <w:p w14:paraId="3CB4E25D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</w:p>
    <w:p w14:paraId="02FE93F5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 案例与文献分析：梳理济宁本地典型助农直播案例（如政府官员带货、本地达人助农、企业自播等），结合相关研究文献，分析模式特点与问题；</w:t>
      </w:r>
    </w:p>
    <w:p w14:paraId="5E6A40F5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</w:p>
    <w:p w14:paraId="44A8455E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 线上问卷与访谈补充：通过线上问卷向本地农户、主播、电商从业者发放调研问卷，结合公开报道中的访谈内容，收集一线反馈。</w:t>
      </w:r>
    </w:p>
    <w:p w14:paraId="758190B4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5003A7B6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（二）调研范围</w:t>
      </w:r>
    </w:p>
    <w:p w14:paraId="0D418339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4AE0C658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本次调研覆盖济宁市下辖任城区、兖州区、曲阜市、邹城市、微山县、金乡县等主要农业县市区，重点关注大蒜、淡水产品、粮食、果蔬等核心特色农产品的直播助农实践。</w:t>
      </w:r>
    </w:p>
    <w:p w14:paraId="4873CD85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36BBB451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 </w:t>
      </w:r>
    </w:p>
    <w:p w14:paraId="16A69C63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42AC6E76">
      <w:pPr>
        <w:tabs>
          <w:tab w:val="left" w:pos="2585"/>
        </w:tabs>
        <w:bidi w:val="0"/>
        <w:jc w:val="left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三、济宁直播助农模式的实际成效</w:t>
      </w:r>
    </w:p>
    <w:p w14:paraId="0B477935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43041C15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（一）拓宽农产品销售渠道，提升销量与溢价</w:t>
      </w:r>
    </w:p>
    <w:p w14:paraId="6BF79510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4AC725F9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破解“卖难”痛点：传统模式下，济宁部分农产品受限于线下流通渠道窄、中间商压价等问题，常出现“丰产不丰收”。直播助农通过直达消费者的方式，大幅缩短流通链路，例如金乡大蒜通过直播带货，直接对接全国采购商与个人消费者，减少了中间环节的利润损耗；</w:t>
      </w:r>
    </w:p>
    <w:p w14:paraId="4EC0D2D3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</w:p>
    <w:p w14:paraId="54632965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打造线上爆款：微山湖小龙虾、微山湖咸鸭蛋等产品通过直播内容营销，成为网红农产品，年线上销量持续增长，部分本地直播间单场大蒜带货量突破万斤，有效消化了农产品产能。</w:t>
      </w:r>
    </w:p>
    <w:p w14:paraId="669F5299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1B315076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（二）提升本地农产品品牌知名度，赋能区域公用品牌</w:t>
      </w:r>
    </w:p>
    <w:p w14:paraId="253F4D85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37C4DCE5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区域品牌曝光提升：直播内容中，主播通过介绍济宁农业文化、产地环境、种植工艺等，强化“济宁特产”的品牌认知，例如曲阜香稻、泗水地瓜等产品，借助直播打破了地域局限，让全国消费者了解济宁特色农产品；</w:t>
      </w:r>
    </w:p>
    <w:p w14:paraId="5BC4D44C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</w:p>
    <w:p w14:paraId="4C262A84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带动农户品牌意识觉醒：部分农户与合作社开始注重产品标准化包装、品质分级，配合直播营销打造自有小品牌，推动农产品从“无牌散装”向“品牌化商品”转型。</w:t>
      </w:r>
    </w:p>
    <w:p w14:paraId="734B441A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77F64A7E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（三）带动就业与创业，激活乡村数字经济</w:t>
      </w:r>
    </w:p>
    <w:p w14:paraId="5E92C778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2D5A01B5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催生新职业岗位：直播助农带动了主播、运营、打包、物流、短视频拍摄等相关岗位需求，吸引了部分返乡青年、大学生加入，缓解了本地农村就业压力；</w:t>
      </w:r>
    </w:p>
    <w:p w14:paraId="402AF868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</w:p>
    <w:p w14:paraId="514BF353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推动农户数字化转型：越来越多的济宁本地农户开始学习直播、短视频运营知识，尝试通过自播销售农产品，打破了对传统经销商的依赖，提升了市场议价能力。</w:t>
      </w:r>
    </w:p>
    <w:p w14:paraId="4A5B078B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20A1FA41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（四）政府引导推动，形成多元参与格局</w:t>
      </w:r>
    </w:p>
    <w:p w14:paraId="4577DD28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41C020C2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济宁多地政府出台了直播助农扶持政策，例如举办助农直播大赛、开展电商技能培训、组织“县长带货”活动，为直播助农营造了良好环境。同时，本地电商企业、合作社、MCN机构纷纷参与，形成了“政府引导+企业主导+农户参与”的多元模式。</w:t>
      </w:r>
    </w:p>
    <w:p w14:paraId="743FEEAC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734A9492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 </w:t>
      </w:r>
    </w:p>
    <w:p w14:paraId="13255D71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0320AB2E">
      <w:pPr>
        <w:tabs>
          <w:tab w:val="left" w:pos="2585"/>
        </w:tabs>
        <w:bidi w:val="0"/>
        <w:jc w:val="left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四、济宁直播助农模式存在的核心问题</w:t>
      </w:r>
    </w:p>
    <w:p w14:paraId="7D017DED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1F732E70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（一）主播与运营端：专业能力不足，内容同质化严重</w:t>
      </w:r>
    </w:p>
    <w:p w14:paraId="49F7DBF3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290C674B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主播专业度参差不齐：多数本地农户主播缺乏专业直播技巧，话术生硬、互动性差，难以吸引用户停留；部分政府官员带货虽能短期引流，但缺乏常态化运营能力，热度难以持续；</w:t>
      </w:r>
    </w:p>
    <w:p w14:paraId="15C13B5D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</w:p>
    <w:p w14:paraId="3F9090E4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内容同质化严重：直播间多集中于“喊麦式带货”，缺乏对济宁农产品文化、产地故事的深度挖掘，金乡大蒜、微山湖小龙虾等产品的直播内容高度雷同，难以形成差异化竞争力。</w:t>
      </w:r>
    </w:p>
    <w:p w14:paraId="4AAABF9D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3102AF4D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（二）产品端：标准化程度低，供应链支撑薄弱</w:t>
      </w:r>
    </w:p>
    <w:p w14:paraId="6719B999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592DFED7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农产品标准化不足：济宁部分特色农产品（如生鲜果蔬、散装干货）缺乏统一的分级、包装、品控标准，直播中承诺的规格、品质与实际发货不符，容易引发售后纠纷，影响口碑；</w:t>
      </w:r>
    </w:p>
    <w:p w14:paraId="564A76FD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</w:p>
    <w:p w14:paraId="7548A5DB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供应链配套不完善：生鲜农产品（如微山湖小龙虾、时令果蔬）对冷链物流、仓储保鲜要求较高，但济宁部分县域冷链设施不足，导致运输损耗率高，配送时效难以保障，限制了直播带货的品类拓展；</w:t>
      </w:r>
    </w:p>
    <w:p w14:paraId="385DBE26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</w:p>
    <w:p w14:paraId="601F10C3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 品牌溢价能力弱：多数产品仍停留在“产地直销”阶段，缺乏品牌化运营，与同类产品相比难以形成价格优势，利润空间被压缩。</w:t>
      </w:r>
    </w:p>
    <w:p w14:paraId="1C5C57DF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2BC7615D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（三）平台与流量端：流量获取成本高，转化效率偏低</w:t>
      </w:r>
    </w:p>
    <w:p w14:paraId="471778CC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0DC259A0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本地账号流量受限：纯农户主播缺乏流量运营经验，直播间曝光量低，难以突破圈层；即使是政府扶持的账号，也多依赖短期活动引流，缺乏稳定的粉丝沉淀；</w:t>
      </w:r>
    </w:p>
    <w:p w14:paraId="33EBEF20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</w:p>
    <w:p w14:paraId="3BFA684A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平台竞争激烈：抖音、快手等平台农产品赛道竞争白热化，头部达人占据大量流量，本地中小主播难以获取优质流量，转化效率普遍偏低，部分直播间场均观看不足千人，成交率不足5%。</w:t>
      </w:r>
    </w:p>
    <w:p w14:paraId="626AE036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784327A3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（四）政策与生态端：扶持体系不完善，可持续性不足</w:t>
      </w:r>
    </w:p>
    <w:p w14:paraId="5789F37D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22F16FDD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扶持政策针对性不强：部分政策偏向短期活动（如直播大赛），缺乏对农户的长期技能培训、供应链升级、品牌打造等方面的系统支持；</w:t>
      </w:r>
    </w:p>
    <w:p w14:paraId="2F463782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</w:p>
    <w:p w14:paraId="0ECDA32F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行业生态不健全：本地缺乏专业的助农MCN机构、电商服务企业，主播孵化、运营指导、售后保障等配套服务不足，农户单打独斗的现象较为普遍；</w:t>
      </w:r>
    </w:p>
    <w:p w14:paraId="62B3D84A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</w:p>
    <w:p w14:paraId="0350A454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 可持续运营能力弱：多数直播助农项目依赖政府推动或短期热点，缺乏长效运营机制，热度过后直播间便陷入停更状态，难以形成稳定的销售渠道。</w:t>
      </w:r>
    </w:p>
    <w:p w14:paraId="6F79C7A7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5C7585B6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 </w:t>
      </w:r>
    </w:p>
    <w:p w14:paraId="2E660E47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5F6EAE70">
      <w:pPr>
        <w:tabs>
          <w:tab w:val="left" w:pos="2585"/>
        </w:tabs>
        <w:bidi w:val="0"/>
        <w:jc w:val="left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五、济宁直播助农模式优化建议</w:t>
      </w:r>
    </w:p>
    <w:p w14:paraId="28431FBA">
      <w:pPr>
        <w:tabs>
          <w:tab w:val="left" w:pos="2585"/>
        </w:tabs>
        <w:bidi w:val="0"/>
        <w:jc w:val="left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 </w:t>
      </w:r>
    </w:p>
    <w:p w14:paraId="2F34BA0B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（一）强化人才培育，打造本土化主播矩阵</w:t>
      </w:r>
    </w:p>
    <w:p w14:paraId="7C9D3ADF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01F1E011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开展分层培训：针对农户、返乡青年开展直播基础技能培训，针对本地电商从业者开展运营、短视频拍摄、品牌营销进阶培训，培养一批懂农业、懂直播的本土主播；</w:t>
      </w:r>
    </w:p>
    <w:p w14:paraId="03009A69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</w:p>
    <w:p w14:paraId="39F3E9DB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打造多元主播矩阵：培育“农户主播+达人主播+政府IP主播”组合，农户主播侧重真实场景展示，达人主播侧重流量引流，政府IP主播侧重品牌背书，实现优势互补。</w:t>
      </w:r>
    </w:p>
    <w:p w14:paraId="71E6F51C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62537E34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（二）推动产品标准化，完善供应链配套</w:t>
      </w:r>
    </w:p>
    <w:p w14:paraId="78B41D6A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2DF47E7A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建立农产品标准体系：针对金乡大蒜、微山湖小龙虾、曲阜香稻等核心产品，制定分级标准、包装规范、品控流程，推动产品标准化、品牌化，提升用户信任度；</w:t>
      </w:r>
    </w:p>
    <w:p w14:paraId="0D8D22F0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</w:p>
    <w:p w14:paraId="667F651A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补齐供应链短板：政府牵头建设县域冷链仓储中心，支持合作社、企业完善冷链物流、仓储保鲜设施，降低生鲜农产品运输损耗；同时整合本地快递资源，争取更优惠的物流价格，降低发货成本；</w:t>
      </w:r>
    </w:p>
    <w:p w14:paraId="500D1E38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</w:p>
    <w:p w14:paraId="7B64F36B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 打造区域公用品牌：以“济宁农产”为核心，整合本地特色农产品资源，打造统一的区域公用品牌，强化品牌故事与文化内涵，提升产品溢价能力。</w:t>
      </w:r>
    </w:p>
    <w:p w14:paraId="79A49E17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08012214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（三）优化流量运营，提升转化效率</w:t>
      </w:r>
    </w:p>
    <w:p w14:paraId="43D8AE01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25693B14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打造差异化内容：结合济宁儒家文化、运河文化、微山湖生态文化，打造产地溯源、农事体验、美食制作等特色直播内容，形成差异化竞争优势；</w:t>
      </w:r>
    </w:p>
    <w:p w14:paraId="7CD053C2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</w:p>
    <w:p w14:paraId="3DB01B68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开展平台合作与活动引流：对接抖音、快手等平台的助农扶持计划，争取流量倾斜；定期举办“济宁助农直播节”“大蒜丰收季直播专场”等活动，集中引流造势；</w:t>
      </w:r>
    </w:p>
    <w:p w14:paraId="1948C120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</w:p>
    <w:p w14:paraId="46C82D1A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 强化私域运营：引导直播间用户加入社群，通过社群维护、会员福利等方式沉淀粉丝，提升复购率，降低流量依赖。</w:t>
      </w:r>
    </w:p>
    <w:p w14:paraId="72965925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0C57759B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（四）完善扶持体系，构建长效发展生态</w:t>
      </w:r>
    </w:p>
    <w:p w14:paraId="001027EC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254B9ED5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出台系统化扶持政策：将直播助农纳入乡村振兴重点工作，从技能培训、供应链升级、品牌打造、场地支持等方面提供长期扶持，避免短期化、碎片化政策；</w:t>
      </w:r>
    </w:p>
    <w:p w14:paraId="46EE65A0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</w:p>
    <w:p w14:paraId="6D2B72D3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引入专业服务机构：通过招商引资、政策补贴等方式，吸引专业MCN机构、电商服务企业入驻济宁，为本地直播助农提供主播孵化、运营指导、售后保障等配套服务；</w:t>
      </w:r>
    </w:p>
    <w:p w14:paraId="799C0017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</w:p>
    <w:p w14:paraId="3962CDEF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 建立可持续运营机制：支持合作社、龙头企业牵头，整合农户资源，打造“企业+合作社+农户+直播”的模式，实现规模化、标准化运营，避免农户单打独斗，提升项目可持续性。</w:t>
      </w:r>
    </w:p>
    <w:p w14:paraId="3EF47B94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44F47951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 </w:t>
      </w:r>
    </w:p>
    <w:p w14:paraId="044DC7F8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3B4A44E8">
      <w:pPr>
        <w:tabs>
          <w:tab w:val="left" w:pos="2585"/>
        </w:tabs>
        <w:bidi w:val="0"/>
        <w:jc w:val="left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六、调研结论</w:t>
      </w:r>
    </w:p>
    <w:p w14:paraId="62CDD97A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7B1DC0C8">
      <w:pPr>
        <w:tabs>
          <w:tab w:val="left" w:pos="2585"/>
        </w:tabs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直播助农为济宁特色农产品打开了线上销路，在提升销量、带动就业、赋能乡村振兴方面取得了一定成效，但仍面临主播专业度不足、产品标准化低、供应链薄弱、流量获取难等问题。未来，济宁直播助农模式需从人才培育、产品升级、供应链完善、生态构建等方面发力，推动从“流量带货”向“品牌化、标准化、可持续”转型，真正让直播助农成为济宁农业高质量发展的长效动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C10C5A"/>
    <w:rsid w:val="47C1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NormalCharacter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2026-06-07T05:44:00Z</dcterms:created>
  <dc:creator>WPS_1738650655</dc:creator>
  <cp:lastModifiedBy>WPS_1738650655</cp:lastModifiedBy>
  <dcterms:modified xsi:type="dcterms:W3CDTF">2026-06-07T06:02:36Z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4FA582C4627C47D7A462FDB272F3854B_11</vt:lpwstr>
  </property>
  <property fmtid="{D5CDD505-2E9C-101B-9397-08002B2CF9AE}" pid="4" name="KSOTemplateDocerSaveRecord">
    <vt:lpwstr>eyJoZGlkIjoiNDVmMTFhYzgxMWViZTE2Mzc5ZTE3NDQzN2E0YmM2YjkiLCJ1c2VySWQiOiIxNjc0NTk3NTQ0In0=</vt:lpwstr>
  </property>
</Properties>
</file>