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9F84"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AF97"/>
    <w:p w14:paraId="44F82982">
      <w:r>
        <w:pict>
          <v:rect id="Rectangle 2" o:spid="_x0000_s1026" o:spt="1" style="position:absolute;left:0pt;margin-left:-36.3pt;margin-top:2.7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focussize="0,0"/>
            <v:stroke on="f"/>
            <v:imagedata o:title=""/>
            <o:lock v:ext="edit" aspectratio="f"/>
          </v:rect>
        </w:pict>
      </w:r>
    </w:p>
    <w:p w14:paraId="0AC7B21C"/>
    <w:p w14:paraId="37F96717"/>
    <w:p w14:paraId="1798F2E7">
      <w:r>
        <w:pict>
          <v:shape id="TextBox 14" o:spid="_x0000_s1027" o:spt="202" type="#_x0000_t202" style="position:absolute;left:0pt;margin-left:-34.65pt;margin-top:4.45pt;height:103.1pt;width:592.7pt;z-index:251660288;mso-width-relative:page;mso-height-relative:page;" filled="f" stroked="f" coordsize="21600,21600" o:gfxdata="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7Bbx3XAAAACgEAAA8AAAAAAAAAAQAgAAAA&#10;IgAAAGRycy9kb3ducmV2LnhtbFBLAQIUABQAAAAIAIdO4kBi3Cwj0wEAAKkDAAAOAAAAAAAAAAEA&#10;IAAAACYBAABkcnMvZTJvRG9jLnhtbFBLBQYAAAAABgAGAFkBAABrBQAAAAA=&#10;">
            <v:path/>
            <v:fill on="f" focussize="0,0"/>
            <v:stroke on="f"/>
            <v:imagedata o:title=""/>
            <o:lock v:ext="edit" aspectratio="f"/>
            <v:textbox style="mso-fit-shape-to-text:t;">
              <w:txbxContent>
                <w:p w14:paraId="2DB956C7">
                  <w:pPr>
                    <w:pStyle w:val="2"/>
                    <w:kinsoku/>
                    <w:spacing w:line="288" w:lineRule="auto"/>
                    <w:jc w:val="center"/>
                    <w:rPr>
                      <w:rFonts w:hint="eastAsia" w:eastAsia="微软雅黑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val="en-US" w:eastAsia="zh-CN"/>
                    </w:rPr>
                    <w:t>电子商务基础与实务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eastAsia="zh-Hans"/>
                    </w:rPr>
                    <w:t>》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44"/>
                      <w:szCs w:val="44"/>
                      <w:lang w:val="en-US" w:eastAsia="zh-CN"/>
                    </w:rPr>
                    <w:t>第一节课教学设计</w:t>
                  </w:r>
                </w:p>
              </w:txbxContent>
            </v:textbox>
          </v:shape>
        </w:pict>
      </w:r>
    </w:p>
    <w:p w14:paraId="1042E814"/>
    <w:p w14:paraId="5A875B68"/>
    <w:p w14:paraId="3FF6DE64"/>
    <w:p w14:paraId="5C5068F7"/>
    <w:p w14:paraId="36E4A103"/>
    <w:p w14:paraId="1785FEF6"/>
    <w:p w14:paraId="530ACE1C"/>
    <w:p w14:paraId="4D3DFD34"/>
    <w:p w14:paraId="6503EE51"/>
    <w:p w14:paraId="656961A8"/>
    <w:p w14:paraId="24355A89"/>
    <w:p w14:paraId="6769F6F0"/>
    <w:p w14:paraId="7269E83A"/>
    <w:p w14:paraId="7D4C1EF4"/>
    <w:p w14:paraId="122C234E"/>
    <w:p w14:paraId="7820BBD8"/>
    <w:p w14:paraId="332DEC46"/>
    <w:p w14:paraId="776CA418"/>
    <w:p w14:paraId="6B142A36"/>
    <w:p w14:paraId="1A69763C">
      <w:pPr>
        <w:jc w:val="center"/>
        <w:rPr>
          <w:rFonts w:hint="default"/>
          <w:sz w:val="52"/>
          <w:szCs w:val="52"/>
          <w:lang w:val="en-US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1562100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52"/>
          <w:szCs w:val="52"/>
          <w:lang w:val="en-US" w:eastAsia="zh-Hans"/>
        </w:rPr>
        <w:t>商学系</w:t>
      </w:r>
    </w:p>
    <w:p w14:paraId="0F8AF1ED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第一节课详细教学</w:t>
      </w:r>
      <w:bookmarkStart w:id="4" w:name="_GoBack"/>
      <w:bookmarkEnd w:id="4"/>
      <w:r>
        <w:rPr>
          <w:rFonts w:ascii="Arial" w:hAnsi="Arial" w:eastAsia="等线" w:cs="Arial"/>
          <w:b/>
          <w:sz w:val="52"/>
        </w:rPr>
        <w:t>设计</w:t>
      </w:r>
    </w:p>
    <w:p w14:paraId="365FCD79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一、基本信息</w:t>
      </w:r>
      <w:bookmarkEnd w:id="0"/>
    </w:p>
    <w:p w14:paraId="641C6781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课程名称</w:t>
      </w:r>
      <w:r>
        <w:rPr>
          <w:rFonts w:ascii="Arial" w:hAnsi="Arial" w:eastAsia="等线" w:cs="Arial"/>
          <w:sz w:val="22"/>
        </w:rPr>
        <w:t>：电子商务概述</w:t>
      </w:r>
    </w:p>
    <w:p w14:paraId="2D8AF94A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授课对象</w:t>
      </w:r>
      <w:r>
        <w:rPr>
          <w:rFonts w:ascii="Arial" w:hAnsi="Arial" w:eastAsia="等线" w:cs="Arial"/>
          <w:sz w:val="22"/>
        </w:rPr>
        <w:t>：高职电子商务专业</w:t>
      </w:r>
      <w:r>
        <w:rPr>
          <w:rFonts w:hint="eastAsia" w:ascii="Arial" w:hAnsi="Arial" w:eastAsia="等线" w:cs="Arial"/>
          <w:sz w:val="22"/>
          <w:lang w:val="en-US" w:eastAsia="zh-CN"/>
        </w:rPr>
        <w:t>学生</w:t>
      </w:r>
    </w:p>
    <w:p w14:paraId="43D2B487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授课时长</w:t>
      </w:r>
      <w:r>
        <w:rPr>
          <w:rFonts w:ascii="Arial" w:hAnsi="Arial" w:eastAsia="等线" w:cs="Arial"/>
          <w:sz w:val="22"/>
        </w:rPr>
        <w:t>：45分钟</w:t>
      </w:r>
    </w:p>
    <w:p w14:paraId="15B512F8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授课类型</w:t>
      </w:r>
      <w:r>
        <w:rPr>
          <w:rFonts w:ascii="Arial" w:hAnsi="Arial" w:eastAsia="等线" w:cs="Arial"/>
          <w:sz w:val="22"/>
        </w:rPr>
        <w:t>：理论导入课</w:t>
      </w:r>
    </w:p>
    <w:p w14:paraId="12CC22EC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核心目标</w:t>
      </w:r>
      <w:r>
        <w:rPr>
          <w:rFonts w:ascii="Arial" w:hAnsi="Arial" w:eastAsia="等线" w:cs="Arial"/>
          <w:sz w:val="22"/>
        </w:rPr>
        <w:t>：1. 掌握电子商务狭义与广义的概念，理解“商务为核心、电子为手段”的本质；2. 初步认知电子商务概念模型及“四流”（信息流、资金流、商流、物流）的基本内涵；3. 结合生活案例，激发对电子商务行业的兴趣，建立基础行业认知。</w:t>
      </w:r>
    </w:p>
    <w:p w14:paraId="76E0ACC9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教学重难点</w:t>
      </w:r>
      <w:r>
        <w:rPr>
          <w:rFonts w:ascii="Arial" w:hAnsi="Arial" w:eastAsia="等线" w:cs="Arial"/>
          <w:sz w:val="22"/>
        </w:rPr>
        <w:t>：重点为电子商务狭义与广义的概念、“四流”核心内涵；难点为理解广义电子商务的范围（涵盖企业内部业务流程）及“四流”的协同关系。</w:t>
      </w:r>
    </w:p>
    <w:p w14:paraId="2CEAE700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：讲授法、案例法、互动讨论法、演示法</w:t>
      </w:r>
    </w:p>
    <w:p w14:paraId="1F4ABF1F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教学准备</w:t>
      </w:r>
      <w:r>
        <w:rPr>
          <w:rFonts w:ascii="Arial" w:hAnsi="Arial" w:eastAsia="等线" w:cs="Arial"/>
          <w:sz w:val="22"/>
        </w:rPr>
        <w:t>：1. 基础素材：PPT课件（含生活电商案例图片、电子商务概念模型图）；2. 案例素材：学生熟悉的生活案例（网购、移动支付、网上订票）、教材导入案例（戴维旅游）；3. 教学工具：多媒体投影、小组讨论桌、案例展示板；4. 学生准备：提前收集1个身边的电商案例，预习电子商务基本概念。</w:t>
      </w:r>
    </w:p>
    <w:p w14:paraId="5AA345C3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二、教学过程（45分钟）</w:t>
      </w:r>
      <w:bookmarkEnd w:id="1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003CEC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2C6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4C1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7A6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07B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教学活动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F56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1749EB8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698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导入新课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D6B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B23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展示3张生活电商场景图片（淘宝网购界面、微信支付截图、12306订票页面）；2. 提问引导：“大家每天都会接触这些场景，你们知道这些活动统称什么吗？除了这些，你们还接触过哪些类似的活动？”；3. 邀请2-3名学生分享提前收集的电商案例，教师简要点评；4. 引出本节课主题：电子商务的核心认知——从生活案例到专业概念，明确本节课45分钟的学习目标（掌握概念、认知“四流”）。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396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教师展示图片，提出问题，引导学生主动发言；2. 认真倾听学生分享，针对性点评（如“这个案例很典型，属于我们今天要学的电子商务范畴”）；3. 明确学习目标，引导学生快速进入学习状态。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6B4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以学生熟悉的生活场景为切入点，降低入门难度，激发学习兴趣；通过学生分享案例，调动学生主动性，同时了解学生对电子商务的初步认知，为后续教学铺垫。</w:t>
            </w:r>
          </w:p>
        </w:tc>
      </w:tr>
      <w:tr w14:paraId="4D0EDC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F28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新知讲授一：电子商务的概念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663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15分钟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706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先讲解狭义电子商务：定义（互联网上的商品交易及相关活动，核心是“网上交易”），结合学生分享的淘宝网购、网上订票案例，拆解狭义电商的核心要素（互联网平台、交易行为、买卖双方）；2. 再讲解广义电子商务：定义（利用信息技术实现全部商务活动电子化，涵盖企业内部业务流程、供应链管理等），补充解读ERP（企业资源计划）、CRM（客户关系管理）的核心含义（用通俗语言解释，如“ERP是企业内部管理的电子化，像企业的‘管家’；CRM是管理客户关系的电子化，像企业的‘客户服务员’”）；3. 核心强调：电子商务的本质是“商务的电子化”，电子是手段，商务是核心，狭义是广义的一部分；4. 简单对比狭义与广义电商的区别（用表格简化：狭义=网上交易，广义=全流程商务电子化）。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AF5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教师结合案例逐一定义讲解，避免抽象化，每讲解一个概念，搭配1个生活案例辅助理解；2. 讲解ERP、CRM时，避免专业术语晦涩，用通俗类比让学生理解；3. 提问互动：“大家觉得京东的企业内部库存管理，属于狭义还是广义电商？”，引导学生思考；4. 总结狭义与广义的核心区别，用PPT表格直观展示。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BF8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遵循“从具体到抽象”的逻辑，先结合生活案例讲解狭义概念，再延伸到广义概念，符合高职学生的认知规律；补充简单的ERP、CRM解读，为后续广义电商的理解铺垫，同时强化“商务为核心”的认知。</w:t>
            </w:r>
          </w:p>
        </w:tc>
      </w:tr>
      <w:tr w14:paraId="777BF7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4EF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新知讲授二：电子商务概念模型与“四流”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934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15分钟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AA1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展示电子商务概念模型图（标注实体、交易事务、电子市场、“四流”），讲解模型核心要素：实体（买卖双方、服务商）、交易事务（商品交易、服务交易）、电子市场（电商平台）；2. 重点讲解“四流”内涵（结合教材戴维旅游案例，拆解每一流的具体体现）：① 信息流：商品信息、交易信息的传递（如旅游产品介绍、订单信息）；② 资金流：资金的转移（如旅游费用支付、退款）；③ 商流：商品所有权的转移（如旅游服务的购买、转让）；④ 物流：实物或服务的配送（如旅游行程安排、相关资料邮寄）；3. 强调“四流”的协同关系：四流缺一不可，信息流是核心，资金流是保障，商流是目的，物流是支撑（用通俗语言解释：“没有信息流，买不到商品；没有资金流，交易无法完成；没有商流，不需要交易；没有物流，商品到不了手上”）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F9E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教师结合模型图，逐一讲解要素和“四流”，每讲解一流，结合戴维旅游案例或学生分享的案例拆解，让学生直观感受；2. 用简单通俗的语言总结“四流”协同关系，避免专业晦涩；3. 演示互动：展示淘宝网购案例，让学生尝试说出其中的“四流”，教师即时纠正补充。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DD5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通过模型图可视化，帮助学生理解电子商务的运作逻辑；结合案例拆解“四流”，突破“四流”内涵这一重点，同时让学生理解四流的协同关系，为后续案例分析铺垫。</w:t>
            </w:r>
          </w:p>
        </w:tc>
      </w:tr>
      <w:tr w14:paraId="426D58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454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课堂互动与巩固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597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78E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小组讨论（4人一组，3分钟）：“结合自己收集的电商案例，分析该案例属于狭义还是广义电商，包含‘四流’中的哪些要素？”；2. 小组展示（4分钟）：邀请2个小组派代表发言，分享案例分析思路，教师针对性点评，纠正错误认知（如混淆四流、狭义与广义的区分）；3. 快速巩固：教师给出1个案例（美团外卖），全班集体回答“属于狭义还是广义电商”“包含哪些四流”，强化知识点记忆。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B71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教师布置讨论任务，明确时间和要求，巡回指导各小组，重点引导学生区分狭义与广义、梳理“四流”；2. 倾听小组发言，点评时重点强调易错点，补充完善分析思路；3. 组织集体互动，快速检验学生掌握情况，强化记忆。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D8B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通过小组讨论，调动学生主动性，提升案例分析能力；小组展示和集体互动，及时检验学习效果，纠正易错点，巩固本节课核心知识点，同时培养学生的语言表达能力。</w:t>
            </w:r>
          </w:p>
        </w:tc>
      </w:tr>
      <w:tr w14:paraId="665E7A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395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课堂小结与作业布置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438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A41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小结（1.5分钟）：用3句话总结本节课核心内容：① 电子商务分为狭义（网上交易）和广义（全流程商务电子化），本质是商务的电子化；② 电子商务概念模型包含实体、交易事务、电子市场三大要素；③ “四流”（信息流、资金流、商流、物流）是电商运作的核心，协同发力。2. 作业布置（1.5分钟）：① 整理狭义与广义电子商务的定义，标注核心区别；② 分析1个自己熟悉的电商案例，拆解其中的“四流”要素，写50-80字的简短分析。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13C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教师简洁明了总结核心知识点，避免冗余，帮助学生快速梳理本节课重点；2. 布置简单易完成的作业，贴合本节课内容，要求具体，便于学生操作和教师批改；3. 提醒学生预习下一节课内容（电商分类）。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A02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快速梳理本节课核心，帮助学生形成清晰的知识框架；布置针对性作业，巩固本节课知识点，同时为下一节课的学习做好铺垫。</w:t>
            </w:r>
          </w:p>
        </w:tc>
      </w:tr>
    </w:tbl>
    <w:p w14:paraId="493868E4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三、教学评价</w:t>
      </w:r>
      <w:bookmarkEnd w:id="2"/>
    </w:p>
    <w:p w14:paraId="2E4FBD6A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过程性评价</w:t>
      </w:r>
      <w:r>
        <w:rPr>
          <w:rFonts w:ascii="Arial" w:hAnsi="Arial" w:eastAsia="等线" w:cs="Arial"/>
          <w:sz w:val="22"/>
        </w:rPr>
        <w:t>：主要评价学生课堂参与度（发言积极性、小组讨论参与度）、案例分析的准确性，占本节课评价的70%；重点关注学生对狭义与广义电商、“四流”的理解程度，及时给予反馈和指导。</w:t>
      </w:r>
    </w:p>
    <w:p w14:paraId="0C2A4492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作业评价</w:t>
      </w:r>
      <w:r>
        <w:rPr>
          <w:rFonts w:ascii="Arial" w:hAnsi="Arial" w:eastAsia="等线" w:cs="Arial"/>
          <w:sz w:val="22"/>
        </w:rPr>
        <w:t>：评价学生作业的完整性、准确性，占本节课评价的30%；重点检查学生对狭义与广义电商区别的梳理、“四流”拆解的合理性，针对错误较多的知识点，下一节课课前进行集中讲解。</w:t>
      </w:r>
    </w:p>
    <w:p w14:paraId="3E52479E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四、教学反思（预设）</w:t>
      </w:r>
      <w:bookmarkEnd w:id="3"/>
    </w:p>
    <w:p w14:paraId="3495867E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需关注学生对广义电子商务的理解，尤其是ERP、CRM等补充概念，避免讲解过于晦涩，可适当增加生活案例，帮助学生理解。</w:t>
      </w:r>
    </w:p>
    <w:p w14:paraId="514EC030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“四流”的协同关系是学生理解的难点，后续可增加简单的场景演示，让学生更直观感受四流的运作流程。</w:t>
      </w:r>
    </w:p>
    <w:p w14:paraId="276CFB61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互动环节的时间分配需灵活把控，确保大部分学生都能参与其中，避免出现少数人主导、多数人沉默的情况。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7221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420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8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9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1">
    <w:nsid w:val="5A241D34"/>
    <w:multiLevelType w:val="singleLevel"/>
    <w:tmpl w:val="5A241D3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">
    <w:nsid w:val="72183CF9"/>
    <w:multiLevelType w:val="singleLevel"/>
    <w:tmpl w:val="72183CF9"/>
    <w:lvl w:ilvl="0" w:tentative="0">
      <w:start w:val="8"/>
      <w:numFmt w:val="decimal"/>
      <w:lvlText w:val="%1."/>
      <w:lvlJc w:val="left"/>
      <w:rPr>
        <w:color w:val="3370FF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EA42392"/>
    <w:rsid w:val="369B3161"/>
    <w:rsid w:val="388B13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2909</Words>
  <Characters>2999</Characters>
  <TotalTime>0</TotalTime>
  <ScaleCrop>false</ScaleCrop>
  <LinksUpToDate>false</LinksUpToDate>
  <CharactersWithSpaces>3047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2026-03-05T13:48:00Z</dcterms:created>
  <dc:creator>Apache POI</dc:creator>
  <cp:lastModifiedBy>feng</cp:lastModifiedBy>
  <dcterms:modified xsi:type="dcterms:W3CDTF">2026-05-19T10:31:47Z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eyJoZGlkIjoiY2M0ZThjZGQyY2Q3ZGVlNGE4NDAyZDM3NmU4ZDZkMzIiLCJ1c2VySWQiOiI0MTAzNDgxMzgifQ==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BD3207FF93E345BE950CC564D26061C4_12</vt:lpwstr>
  </property>
</Properties>
</file>