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359B8">
      <w:bookmarkStart w:id="0" w:name="heading_0"/>
      <w:r>
        <w:drawing>
          <wp:inline distT="0" distB="0" distL="114300" distR="114300">
            <wp:extent cx="3865880" cy="1144905"/>
            <wp:effectExtent l="0" t="0" r="7620" b="10795"/>
            <wp:docPr id="12" name="图片 1" descr="日职标志标准字横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日职标志标准字横排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588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A6210"/>
    <w:p w14:paraId="7858DA85"/>
    <w:p w14:paraId="79F434CD"/>
    <w:p w14:paraId="3A828A29"/>
    <w:p w14:paraId="4D0B58B4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-1123950</wp:posOffset>
                </wp:positionH>
                <wp:positionV relativeFrom="paragraph">
                  <wp:posOffset>128905</wp:posOffset>
                </wp:positionV>
                <wp:extent cx="7547610" cy="2141220"/>
                <wp:effectExtent l="0" t="0" r="8890" b="50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21412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noFill/>
                        </a:ln>
                        <a:effectLst/>
                      </wps:spPr>
                      <wps:bodyPr wrap="none" anchor="ctr" anchorCtr="0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8.5pt;margin-top:10.15pt;height:168.6pt;width:594.3pt;mso-wrap-style:none;z-index:251659264;v-text-anchor:middle;mso-width-relative:page;mso-height-relative:page;" fillcolor="#0070C0" filled="t" stroked="f" coordsize="21600,21600" o:gfxdata="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6PAf42gAAAAwBAAAPAAAAAAAAAAEAIAAAACIA&#10;AABkcnMvZG93bnJldi54bWxQSwECFAAUAAAACACHTuJA4cv0Ns4BAACSAwAADgAAAAAAAAABACAA&#10;AAApAQAAZHJzL2Uyb0RvYy54bWxQSwUGAAAAAAYABgBZAQAAaQUAAAAA&#10;">
                <v:path/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4462AB94"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-983615</wp:posOffset>
                </wp:positionH>
                <wp:positionV relativeFrom="paragraph">
                  <wp:posOffset>50165</wp:posOffset>
                </wp:positionV>
                <wp:extent cx="7216140" cy="199771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6140" cy="1997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35EA96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电子商务实务</w:t>
                            </w:r>
                            <w:r>
                              <w:rPr>
                                <w:rFonts w:hint="default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eastAsia="zh-Han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》</w:t>
                            </w:r>
                          </w:p>
                          <w:p w14:paraId="481EF74D">
                            <w:pPr>
                              <w:pStyle w:val="2"/>
                              <w:kinsoku/>
                              <w:spacing w:line="288" w:lineRule="auto"/>
                              <w:jc w:val="center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eastAsia="微软雅黑"/>
                                <w:b/>
                                <w:color w:val="FFFFFF" w:themeColor="background1"/>
                                <w:kern w:val="24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单元设计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45pt;margin-top:3.95pt;height:157.3pt;width:568.2pt;z-index:251660288;mso-width-relative:page;mso-height-relative:page;" filled="f" stroked="f" coordsize="21600,21600" o:gfxdata="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1NN27dgA&#10;AAAKAQAADwAAAAAAAAABACAAAAAiAAAAZHJzL2Rvd25yZXYueG1sUEsBAhQAFAAAAAgAh07iQKii&#10;99atAQAATwMAAA4AAAAAAAAAAQAgAAAAJwEAAGRycy9lMm9Eb2MueG1sUEsFBgAAAAAGAAYAWQEA&#10;AEY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A35EA96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电子商务实务</w:t>
                      </w:r>
                      <w:r>
                        <w:rPr>
                          <w:rFonts w:hint="default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eastAsia="zh-Han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》</w:t>
                      </w:r>
                    </w:p>
                    <w:p w14:paraId="481EF74D">
                      <w:pPr>
                        <w:pStyle w:val="2"/>
                        <w:kinsoku/>
                        <w:spacing w:line="288" w:lineRule="auto"/>
                        <w:jc w:val="center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ascii="微软雅黑" w:eastAsia="微软雅黑"/>
                          <w:b/>
                          <w:color w:val="FFFFFF" w:themeColor="background1"/>
                          <w:kern w:val="24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单元设计</w:t>
                      </w:r>
                    </w:p>
                  </w:txbxContent>
                </v:textbox>
              </v:shape>
            </w:pict>
          </mc:Fallback>
        </mc:AlternateContent>
      </w:r>
    </w:p>
    <w:p w14:paraId="2E3F3473"/>
    <w:p w14:paraId="610CA2BD"/>
    <w:p w14:paraId="410A2B20"/>
    <w:p w14:paraId="18D9D392"/>
    <w:p w14:paraId="14697D31"/>
    <w:p w14:paraId="44A336A4"/>
    <w:p w14:paraId="5E978F10"/>
    <w:p w14:paraId="5623968A"/>
    <w:p w14:paraId="43464ED1"/>
    <w:p w14:paraId="3C3C7F73"/>
    <w:p w14:paraId="31C09BC7"/>
    <w:p w14:paraId="1366E763"/>
    <w:p w14:paraId="5B5EB024"/>
    <w:p w14:paraId="1C80CA65"/>
    <w:p w14:paraId="58D65D6E"/>
    <w:p w14:paraId="27AF10CD"/>
    <w:p w14:paraId="3DF075B0"/>
    <w:p w14:paraId="2EBFA1CF"/>
    <w:p w14:paraId="147BA30A">
      <w:pPr>
        <w:jc w:val="center"/>
      </w:pPr>
      <w:r>
        <w:rPr>
          <w:rFonts w:hint="eastAsia"/>
          <w:sz w:val="52"/>
          <w:szCs w:val="52"/>
          <w:lang w:val="en-US" w:eastAsia="zh-Hans"/>
        </w:rPr>
        <w:t>商学系</w:t>
      </w:r>
    </w:p>
    <w:p w14:paraId="6E7A7E6C"/>
    <w:p w14:paraId="1362DAB4">
      <w:pPr>
        <w:jc w:val="center"/>
        <w:rPr>
          <w:rFonts w:hint="eastAsia"/>
          <w:sz w:val="52"/>
          <w:szCs w:val="52"/>
          <w:lang w:val="en-US" w:eastAsia="zh-Hans"/>
        </w:rPr>
      </w:pPr>
      <w:bookmarkStart w:id="35" w:name="_GoBack"/>
      <w:r>
        <w:rPr>
          <w:rFonts w:hint="default"/>
          <w:sz w:val="52"/>
          <w:szCs w:val="5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-1158875</wp:posOffset>
            </wp:positionH>
            <wp:positionV relativeFrom="paragraph">
              <wp:posOffset>1372235</wp:posOffset>
            </wp:positionV>
            <wp:extent cx="7558405" cy="2729230"/>
            <wp:effectExtent l="0" t="0" r="10795" b="1270"/>
            <wp:wrapNone/>
            <wp:docPr id="4" name="图片 4" descr="地滋楼速写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地滋楼速写1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72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5"/>
    </w:p>
    <w:p w14:paraId="79D01D3A">
      <w:pPr>
        <w:spacing w:before="480" w:after="480" w:line="288" w:lineRule="auto"/>
        <w:ind w:left="0"/>
        <w:jc w:val="center"/>
        <w:rPr>
          <w:rFonts w:ascii="Arial" w:hAnsi="Arial" w:eastAsia="等线" w:cs="Arial"/>
          <w:b/>
          <w:sz w:val="52"/>
        </w:rPr>
        <w:sectPr>
          <w:headerReference r:id="rId3" w:type="default"/>
          <w:footerReference r:id="rId4" w:type="default"/>
          <w:pgSz w:w="11905" w:h="16840"/>
          <w:cols w:space="720" w:num="1"/>
        </w:sectPr>
      </w:pPr>
    </w:p>
    <w:p w14:paraId="637D689D">
      <w:pPr>
        <w:spacing w:before="380" w:after="140" w:line="288" w:lineRule="auto"/>
        <w:ind w:left="0"/>
        <w:jc w:val="center"/>
        <w:outlineLvl w:val="0"/>
        <w:rPr>
          <w:rFonts w:hint="eastAsia" w:ascii="Arial" w:hAnsi="Arial" w:eastAsia="等线" w:cs="Arial"/>
          <w:b/>
          <w:sz w:val="36"/>
          <w:lang w:eastAsia="zh-CN"/>
        </w:rPr>
      </w:pPr>
      <w:r>
        <w:rPr>
          <w:rFonts w:ascii="Arial" w:hAnsi="Arial" w:eastAsia="等线" w:cs="Arial"/>
          <w:b/>
          <w:sz w:val="36"/>
        </w:rPr>
        <w:t>第八</w:t>
      </w:r>
      <w:bookmarkEnd w:id="0"/>
      <w:r>
        <w:rPr>
          <w:rFonts w:hint="eastAsia" w:ascii="Arial" w:hAnsi="Arial" w:eastAsia="等线" w:cs="Arial"/>
          <w:b/>
          <w:sz w:val="36"/>
          <w:lang w:val="en-US" w:eastAsia="zh-CN"/>
        </w:rPr>
        <w:t>章</w:t>
      </w:r>
    </w:p>
    <w:p w14:paraId="538A29D0">
      <w:pPr>
        <w:spacing w:before="380" w:after="140" w:line="288" w:lineRule="auto"/>
        <w:ind w:left="0"/>
        <w:jc w:val="center"/>
        <w:outlineLvl w:val="0"/>
        <w:rPr>
          <w:rFonts w:ascii="Arial" w:hAnsi="Arial" w:eastAsia="等线" w:cs="Arial"/>
          <w:b/>
          <w:sz w:val="36"/>
        </w:rPr>
      </w:pPr>
      <w:r>
        <w:rPr>
          <w:rFonts w:ascii="Arial" w:hAnsi="Arial" w:eastAsia="等线" w:cs="Arial"/>
          <w:b/>
          <w:sz w:val="36"/>
        </w:rPr>
        <w:t>电子商务物流及供应链管理</w:t>
      </w:r>
    </w:p>
    <w:p w14:paraId="1002520E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一、单元基本信息</w:t>
      </w:r>
      <w:bookmarkEnd w:id="1"/>
    </w:p>
    <w:p w14:paraId="41B1CD52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单元名称</w:t>
      </w:r>
      <w:r>
        <w:rPr>
          <w:rFonts w:ascii="Arial" w:hAnsi="Arial" w:eastAsia="等线" w:cs="Arial"/>
          <w:sz w:val="22"/>
        </w:rPr>
        <w:t>：电子商务物流及供应链管理</w:t>
      </w:r>
    </w:p>
    <w:p w14:paraId="0315EEB5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适用学段/专业</w:t>
      </w:r>
      <w:r>
        <w:rPr>
          <w:rFonts w:ascii="Arial" w:hAnsi="Arial" w:eastAsia="等线" w:cs="Arial"/>
          <w:sz w:val="22"/>
        </w:rPr>
        <w:t>：高职电子商务专业</w:t>
      </w:r>
    </w:p>
    <w:p w14:paraId="36091343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课时安排</w:t>
      </w:r>
      <w:r>
        <w:rPr>
          <w:rFonts w:ascii="Arial" w:hAnsi="Arial" w:eastAsia="等线" w:cs="Arial"/>
          <w:sz w:val="22"/>
        </w:rPr>
        <w:t>：4课时（理论3课时+实训1课时）</w:t>
      </w:r>
    </w:p>
    <w:p w14:paraId="17DE3482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单元地位</w:t>
      </w:r>
      <w:r>
        <w:rPr>
          <w:rFonts w:ascii="Arial" w:hAnsi="Arial" w:eastAsia="等线" w:cs="Arial"/>
          <w:sz w:val="22"/>
        </w:rPr>
        <w:t>：本单元是电子商务专业的核心支撑单元，承接网上开店、网络营销等前置模块，聚焦电子商务物流、配送及供应链管理三大核心内容，是实现电子商务“货物流通”的关键环节，直接对接电商行业物流运营、供应链管理等岗位需求，为学生后续从事电商物流相关工作奠定理论和实操基础。</w:t>
      </w:r>
    </w:p>
    <w:p w14:paraId="506CCA1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教学方法</w:t>
      </w:r>
      <w:r>
        <w:rPr>
          <w:rFonts w:ascii="Arial" w:hAnsi="Arial" w:eastAsia="等线" w:cs="Arial"/>
          <w:sz w:val="22"/>
        </w:rPr>
        <w:t>：讲授法、演示法、讨论法、实操法、案例分析法</w:t>
      </w:r>
    </w:p>
    <w:p w14:paraId="11947BE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教学重难点</w:t>
      </w:r>
      <w:r>
        <w:rPr>
          <w:rFonts w:ascii="Arial" w:hAnsi="Arial" w:eastAsia="等线" w:cs="Arial"/>
          <w:sz w:val="22"/>
        </w:rPr>
        <w:t>：重点为电子商务物流的实现模式、电子商务配送流程、物流的功能；难点为电子商务配送流程</w:t>
      </w:r>
    </w:p>
    <w:p w14:paraId="482D1D11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二、单元教学目标</w:t>
      </w:r>
      <w:bookmarkEnd w:id="2"/>
    </w:p>
    <w:p w14:paraId="5DD9E69A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（一）知识目标</w:t>
      </w:r>
      <w:bookmarkEnd w:id="3"/>
    </w:p>
    <w:p w14:paraId="0739EE0E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熟悉物流的七个基本功能（包装、装卸搬运、运输、储存、流通加工、配送、物流信息管理）。</w:t>
      </w:r>
    </w:p>
    <w:p w14:paraId="00A50396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了解电子商务配送的基本流程，掌握采购、仓储、配送、退货及后续处理各环节的核心内容。</w:t>
      </w:r>
    </w:p>
    <w:p w14:paraId="7E9F6A2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熟悉供应链管理方法（供应商管理库存VMI、快速响应QR、有效客户响应ECR）。</w:t>
      </w:r>
    </w:p>
    <w:p w14:paraId="26F658EC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了解物流的含义、内涵及分类，掌握电子商务环境下物流的实现方式和特点。</w:t>
      </w:r>
    </w:p>
    <w:p w14:paraId="453C055B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了解电子商务物流配送中心的定义、要求及分类，掌握电商供应链数字化转型的核心特征。</w:t>
      </w:r>
    </w:p>
    <w:p w14:paraId="44D7298A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（二）技能目标</w:t>
      </w:r>
      <w:bookmarkEnd w:id="4"/>
    </w:p>
    <w:p w14:paraId="20CE7AD5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能够举例说明电商企业组织物流活动的方式（自营物流、第三方物流），并对比分析两者的优劣。</w:t>
      </w:r>
    </w:p>
    <w:p w14:paraId="57EE646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能够描述电子商务配送的详细过程，清晰梳理采购、仓储、配送、退货各流程的逻辑关系。</w:t>
      </w:r>
    </w:p>
    <w:p w14:paraId="2E2A74E9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能够举例分析电商供应链数字化转型的核心特征，结合案例说明数字化转型的实际应用。</w:t>
      </w:r>
    </w:p>
    <w:p w14:paraId="3A10EE30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能够结合案例，分析供应链管理三种核心方法的应用场景和实施效果。</w:t>
      </w:r>
    </w:p>
    <w:p w14:paraId="75EEB918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（三）素养目标</w:t>
      </w:r>
      <w:bookmarkEnd w:id="5"/>
    </w:p>
    <w:p w14:paraId="54C813FF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培养系统思维和全局观念，能从整体上理解电子商务物流与供应链的协同关系，认识到物流对电商发展的重要性。</w:t>
      </w:r>
    </w:p>
    <w:p w14:paraId="684E886B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提升市场洞察和分析能力，能结合电商行业发展趋势，理解物流与供应链的数字化、智慧化转型方向。</w:t>
      </w:r>
    </w:p>
    <w:p w14:paraId="08C6C70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培养严谨细致的工作态度，能准确梳理物流配送流程和供应链管理环节，注重细节把控和流程衔接。</w:t>
      </w:r>
    </w:p>
    <w:p w14:paraId="38D630AD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树立协同合作理念，理解供应链各环节的协同重要性，培养符合物流与供应链岗位要求的职业素养。</w:t>
      </w:r>
    </w:p>
    <w:p w14:paraId="238A17C1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三、教学准备</w:t>
      </w:r>
      <w:bookmarkEnd w:id="6"/>
    </w:p>
    <w:p w14:paraId="462F3E56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（一）教学资源</w:t>
      </w:r>
      <w:bookmarkEnd w:id="7"/>
    </w:p>
    <w:p w14:paraId="71C78169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基础素材：本单元教学文档、PPT课件（含物流功能示意图、仓储作业流程图、供应链管理方法示意图、供应链数字化转型特征图）。</w:t>
      </w:r>
    </w:p>
    <w:p w14:paraId="786B1399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素材：电商物流案例（京东自营物流、菜鸟网络第三方物流）、农产品物流案例（贴合教材引例）、配送流程案例、供应链管理案例（VMI、QR、ECR应用案例）、供应链数字化转型案例（京东“预售前置”模式）。</w:t>
      </w:r>
    </w:p>
    <w:p w14:paraId="1942ED2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工具资源：物流配送流程模板、供应链管理方法分析表、实训操作指南、《物流术语》（GB/T 18354—2021）节选、物流与供应链相关视频资料。</w:t>
      </w:r>
    </w:p>
    <w:p w14:paraId="4C1C0B51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拓展资源：物流行业发展报告、供应链数字化转型案例集、第三方物流企业发展现状资料。</w:t>
      </w:r>
    </w:p>
    <w:p w14:paraId="2CBF937A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（二）教学工具</w:t>
      </w:r>
      <w:bookmarkEnd w:id="8"/>
    </w:p>
    <w:p w14:paraId="58370B5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多媒体教学设备、计算机机房（预装演示软件、流程图绘制工具）、小组讨论桌、案例展示板、仓储作业流程示意图、供应链结构示意图。</w:t>
      </w:r>
    </w:p>
    <w:p w14:paraId="327A8FEB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（三）学生准备</w:t>
      </w:r>
      <w:bookmarkEnd w:id="9"/>
    </w:p>
    <w:p w14:paraId="30BA5E21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课前预习本单元核心内容，梳理物流、配送、供应链管理的基本概念，标记疑问点（如物流功能的区别、配送流程的衔接）。</w:t>
      </w:r>
    </w:p>
    <w:p w14:paraId="6C6C3EC4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结合自身网购经历，观察物流配送的完整流程，记录从下单到收货的各环节；观察身边的物流配送中心（如快递网点），记录其运营特点。</w:t>
      </w:r>
    </w:p>
    <w:p w14:paraId="6B08CAE2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收集1个电商物流或供应链管理的案例（如京东物流、菜鸟供应链），分析其物流实现方式或供应链管理特点。</w:t>
      </w:r>
    </w:p>
    <w:p w14:paraId="284A03CF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四、教学过程设计（4课时）</w:t>
      </w:r>
      <w:bookmarkEnd w:id="10"/>
    </w:p>
    <w:p w14:paraId="65251262">
      <w:pPr>
        <w:spacing w:before="300" w:after="120" w:line="288" w:lineRule="auto"/>
        <w:ind w:left="0"/>
        <w:jc w:val="left"/>
        <w:outlineLvl w:val="2"/>
      </w:pPr>
      <w:bookmarkStart w:id="11" w:name="heading_11"/>
      <w:r>
        <w:rPr>
          <w:rFonts w:ascii="Arial" w:hAnsi="Arial" w:eastAsia="等线" w:cs="Arial"/>
          <w:b/>
          <w:sz w:val="30"/>
        </w:rPr>
        <w:t>第1课时：电子商务物流（含义、功能、分类）</w:t>
      </w:r>
      <w:bookmarkEnd w:id="11"/>
    </w:p>
    <w:p w14:paraId="783EE3B4">
      <w:pPr>
        <w:spacing w:before="260" w:after="120" w:line="288" w:lineRule="auto"/>
        <w:ind w:left="0"/>
        <w:jc w:val="left"/>
        <w:outlineLvl w:val="3"/>
      </w:pPr>
      <w:bookmarkStart w:id="12" w:name="heading_12"/>
      <w:r>
        <w:rPr>
          <w:rFonts w:ascii="Arial" w:hAnsi="Arial" w:eastAsia="等线" w:cs="Arial"/>
          <w:b/>
          <w:sz w:val="28"/>
        </w:rPr>
        <w:t>（一）导入新课（10分钟）</w:t>
      </w:r>
      <w:bookmarkEnd w:id="12"/>
    </w:p>
    <w:p w14:paraId="3B4707B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教材农产品引例和学生网购经历为切入点，提问：“农民收获的农产品，如何才能高效送到消费者手中？大家网购的商品，从商家到手中需要经过哪些环节？”邀请学生分享自己的经历，引出本节课核心主题——电子商务物流，明确学习目标（掌握物流的含义、功能和分类）。</w:t>
      </w:r>
    </w:p>
    <w:p w14:paraId="524D0E96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（二）新知讲授（35分钟）</w:t>
      </w:r>
      <w:bookmarkEnd w:id="13"/>
    </w:p>
    <w:p w14:paraId="5F530877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物流的含义</w:t>
      </w:r>
      <w:r>
        <w:rPr>
          <w:rFonts w:ascii="Arial" w:hAnsi="Arial" w:eastAsia="等线" w:cs="Arial"/>
          <w:sz w:val="22"/>
        </w:rPr>
        <w:t>：讲解《物流术语》（GB/T 18354—2021）中物流和物流管理的定义，结合引例分析物流的三个核心内涵（研究对象是物、物理运动、经济活动），让学生理解物流的本质是“物的实体流动”。</w:t>
      </w:r>
    </w:p>
    <w:p w14:paraId="0CB29221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物流的基本功能</w:t>
      </w:r>
      <w:r>
        <w:rPr>
          <w:rFonts w:ascii="Arial" w:hAnsi="Arial" w:eastAsia="等线" w:cs="Arial"/>
          <w:sz w:val="22"/>
        </w:rPr>
        <w:t>：详细讲解物流的七个基本功能，结合农产品物流案例（贴合引例）说明每种功能的核心作用：包装（保护农产品、提升吸引力）、装卸搬运（避免农产品损坏）、运输（实现跨区域流通）、储存（调节供需）、流通加工（分级、清洗，提升价值）、配送（直达消费者）、物流信息管理（精准对接供需）。</w:t>
      </w:r>
    </w:p>
    <w:p w14:paraId="68408E43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物流的分类</w:t>
      </w:r>
      <w:r>
        <w:rPr>
          <w:rFonts w:ascii="Arial" w:hAnsi="Arial" w:eastAsia="等线" w:cs="Arial"/>
          <w:sz w:val="22"/>
        </w:rPr>
        <w:t>：讲解两种核心分类方式——按活动空间（地区物流、国家物流、国际物流）和按作用（供应物流、生产物流、销售物流、回收物流、废弃物物流），结合实例明确各类物流的核心区别，帮助学生快速区分记忆。</w:t>
      </w:r>
    </w:p>
    <w:p w14:paraId="16E891FF"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（三）课堂互动（15分钟）</w:t>
      </w:r>
      <w:bookmarkEnd w:id="14"/>
    </w:p>
    <w:p w14:paraId="56C2250B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小组讨论：“结合教材引例，分析农产品物流需要用到哪些物流基本功能？每种功能在农产品流通中起到什么作用？”每组派代表发言，教师点评总结，强化对物流功能的理解。</w:t>
      </w:r>
    </w:p>
    <w:p w14:paraId="0285FA8E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案例辨析：给出不同场景（如跨境网购、本地生鲜配送、工厂废料处理），让学生判断对应的物流类型（按空间/作用分类），巩固分类知识点。</w:t>
      </w:r>
    </w:p>
    <w:p w14:paraId="24C4F903">
      <w:pPr>
        <w:spacing w:before="260" w:after="120" w:line="288" w:lineRule="auto"/>
        <w:ind w:left="0"/>
        <w:jc w:val="left"/>
        <w:outlineLvl w:val="3"/>
      </w:pPr>
      <w:bookmarkStart w:id="15" w:name="heading_1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15"/>
    </w:p>
    <w:p w14:paraId="0262D339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小结：梳理物流的含义、七个基本功能及两种分类方式，强调物流在电子商务中的核心支撑作用。</w:t>
      </w:r>
    </w:p>
    <w:p w14:paraId="1390CA23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作业：整理物流的七个基本功能，结合自己收集的电商物流案例，说明每种功能的具体应用；区分按空间和按作用分类的物流类型，填写对比表格。</w:t>
      </w:r>
    </w:p>
    <w:p w14:paraId="79508820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第2课时：电子商务物流实现方式、特点及配送流程</w:t>
      </w:r>
      <w:bookmarkEnd w:id="16"/>
    </w:p>
    <w:p w14:paraId="32D620DA">
      <w:pPr>
        <w:spacing w:before="260" w:after="120" w:line="288" w:lineRule="auto"/>
        <w:ind w:left="0"/>
        <w:jc w:val="left"/>
        <w:outlineLvl w:val="3"/>
      </w:pPr>
      <w:bookmarkStart w:id="17" w:name="heading_17"/>
      <w:r>
        <w:rPr>
          <w:rFonts w:ascii="Arial" w:hAnsi="Arial" w:eastAsia="等线" w:cs="Arial"/>
          <w:b/>
          <w:sz w:val="28"/>
        </w:rPr>
        <w:t>（一）复习回顾（10分钟）</w:t>
      </w:r>
      <w:bookmarkEnd w:id="17"/>
    </w:p>
    <w:p w14:paraId="1D9F36C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物流功能案例和分类对比表格，点评后提问：“电商企业要完成物流配送，有哪些方式可以选择？这些方式各有什么特点？电商配送的具体流程是什么？”引出本节课主题——物流实现方式、特点及配送流程。</w:t>
      </w:r>
    </w:p>
    <w:p w14:paraId="69D3B90D">
      <w:pPr>
        <w:spacing w:before="260" w:after="120" w:line="288" w:lineRule="auto"/>
        <w:ind w:left="0"/>
        <w:jc w:val="left"/>
        <w:outlineLvl w:val="3"/>
      </w:pPr>
      <w:bookmarkStart w:id="18" w:name="heading_18"/>
      <w:r>
        <w:rPr>
          <w:rFonts w:ascii="Arial" w:hAnsi="Arial" w:eastAsia="等线" w:cs="Arial"/>
          <w:b/>
          <w:sz w:val="28"/>
        </w:rPr>
        <w:t>（二）新知讲授（35分钟）</w:t>
      </w:r>
      <w:bookmarkEnd w:id="18"/>
    </w:p>
    <w:p w14:paraId="4B0929C7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电子商务环境下物流的实现方式</w:t>
      </w:r>
      <w:r>
        <w:rPr>
          <w:rFonts w:ascii="Arial" w:hAnsi="Arial" w:eastAsia="等线" w:cs="Arial"/>
          <w:sz w:val="22"/>
        </w:rPr>
        <w:t>：分别讲解企业自营物流和第三方物流的定义、特点，对比分析两者的优劣：① 企业自营物流（京东为例）：优势是可控性强，劣势是投资成本高、不利于专注主业、灵活性差；② 第三方物流（菜鸟网络、邮政物流为例）：优势是成本低、专业性强、灵活性高，劣势是可控性弱。补充我国第三方物流企业的两类类型，帮助学生全面了解。</w:t>
      </w:r>
    </w:p>
    <w:p w14:paraId="20EAF7AE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电子商务环境下物流的特点</w:t>
      </w:r>
      <w:r>
        <w:rPr>
          <w:rFonts w:ascii="Arial" w:hAnsi="Arial" w:eastAsia="等线" w:cs="Arial"/>
          <w:sz w:val="22"/>
        </w:rPr>
        <w:t>：讲解七个核心特点（信息化、自动化、网络化、柔性化、集成化、智能化、智慧化），结合实例说明（如物流信息实时追踪体现信息化，智能分拣体现自动化），让学生理解物流的现代化发展趋势。</w:t>
      </w:r>
    </w:p>
    <w:p w14:paraId="7AD94C1A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电子商务配送流程</w:t>
      </w:r>
      <w:r>
        <w:rPr>
          <w:rFonts w:ascii="Arial" w:hAnsi="Arial" w:eastAsia="等线" w:cs="Arial"/>
          <w:sz w:val="22"/>
        </w:rPr>
        <w:t>：详细讲解四个核心流程，结合仓储作业流程图，说明各流程的核心环节和操作要点：① 采购作业流程（配送中心运转的基础）；② 仓储作业流程（采购的延续，含验收、理货、入库、拣货等环节）；③ 配送作业流程（物流配送的核心）；④ 退货及后续处理作业流程（配送的收尾环节）。</w:t>
      </w:r>
    </w:p>
    <w:p w14:paraId="1EDA49E2">
      <w:pPr>
        <w:spacing w:before="260" w:after="120" w:line="288" w:lineRule="auto"/>
        <w:ind w:left="0"/>
        <w:jc w:val="left"/>
        <w:outlineLvl w:val="3"/>
      </w:pPr>
      <w:bookmarkStart w:id="19" w:name="heading_19"/>
      <w:r>
        <w:rPr>
          <w:rFonts w:ascii="Arial" w:hAnsi="Arial" w:eastAsia="等线" w:cs="Arial"/>
          <w:b/>
          <w:sz w:val="28"/>
        </w:rPr>
        <w:t>（三）课堂互动（15分钟）</w:t>
      </w:r>
      <w:bookmarkEnd w:id="19"/>
    </w:p>
    <w:p w14:paraId="554C47A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学生分组，梳理电子商务配送的完整流程，绘制流程图，标注各环节的核心职能（如仓储作业流程的验收、理货、入库），每组派代表展示，教师点评优化，强化流程梳理能力，突破“电子商务配送流程”这一教学难点。</w:t>
      </w:r>
    </w:p>
    <w:p w14:paraId="65502A96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0"/>
    </w:p>
    <w:p w14:paraId="63A197F5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小结：梳理物流的两种实现方式、七个特点及配送的四个核心流程，强调配送流程的逻辑性和衔接性。</w:t>
      </w:r>
    </w:p>
    <w:p w14:paraId="3E150040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作业：完善电子商务配送流程图；对比企业自营物流与第三方物流的优势与不足，结合具体电商企业案例，说明其选择该物流方式的合理性。</w:t>
      </w:r>
    </w:p>
    <w:p w14:paraId="0374FBDC">
      <w:pPr>
        <w:spacing w:before="300" w:after="120" w:line="288" w:lineRule="auto"/>
        <w:ind w:left="0"/>
        <w:jc w:val="left"/>
        <w:outlineLvl w:val="2"/>
      </w:pPr>
      <w:bookmarkStart w:id="21" w:name="heading_21"/>
      <w:r>
        <w:rPr>
          <w:rFonts w:ascii="Arial" w:hAnsi="Arial" w:eastAsia="等线" w:cs="Arial"/>
          <w:b/>
          <w:sz w:val="30"/>
        </w:rPr>
        <w:t>第3课时：电子商务配送中心与供应链管理</w:t>
      </w:r>
      <w:bookmarkEnd w:id="21"/>
    </w:p>
    <w:p w14:paraId="258B2A68"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（一）复习回顾（10分钟）</w:t>
      </w:r>
      <w:bookmarkEnd w:id="22"/>
    </w:p>
    <w:p w14:paraId="56F6580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抽查学生作业，邀请学生分享配送流程图和物流方式对比分析，点评后提问：“配送流程的顺利开展离不开配送中心，电子商务物流配送中心有哪些类型？供应链与物流、配送是什么关系？如何对供应链进行有效管理？”引出本节课主题——配送中心与供应链管理。</w:t>
      </w:r>
    </w:p>
    <w:p w14:paraId="4514BCC8">
      <w:pPr>
        <w:spacing w:before="260" w:after="120" w:line="288" w:lineRule="auto"/>
        <w:ind w:left="0"/>
        <w:jc w:val="left"/>
        <w:outlineLvl w:val="3"/>
      </w:pPr>
      <w:bookmarkStart w:id="23" w:name="heading_23"/>
      <w:r>
        <w:rPr>
          <w:rFonts w:ascii="Arial" w:hAnsi="Arial" w:eastAsia="等线" w:cs="Arial"/>
          <w:b/>
          <w:sz w:val="28"/>
        </w:rPr>
        <w:t>（二）新知讲授（35分钟）</w:t>
      </w:r>
      <w:bookmarkEnd w:id="23"/>
    </w:p>
    <w:p w14:paraId="0626E474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电子商务物流配送中心</w:t>
      </w:r>
      <w:r>
        <w:rPr>
          <w:rFonts w:ascii="Arial" w:hAnsi="Arial" w:eastAsia="等线" w:cs="Arial"/>
          <w:sz w:val="22"/>
        </w:rPr>
        <w:t>：讲解《物流术语》中配送中心的定义和六个基本要求，介绍三种分类方式：① 按运营主体（制造商、批发商、零售业、仓储运输业者为主体）；② 按内部特性（储存型、流通型、加工型）；③ 按配送货物属性（生鲜品、服饰、家电等），结合案例说明不同类型配送中心的特点和适用场景。</w:t>
      </w:r>
    </w:p>
    <w:p w14:paraId="077F30E3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供应链与供应链管理</w:t>
      </w:r>
      <w:r>
        <w:rPr>
          <w:rFonts w:ascii="Arial" w:hAnsi="Arial" w:eastAsia="等线" w:cs="Arial"/>
          <w:sz w:val="22"/>
        </w:rPr>
        <w:t>：讲解《物流术语》中供应链和供应链管理的定义，分析供应链的网链结构（原材料供应商→制造商→分销商→零售商→最终用户），说明供应链管理的核心是对商流、物流、信息流、资金流的统一计划、组织、协调、控制。</w:t>
      </w:r>
    </w:p>
    <w:p w14:paraId="1D83A5DD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供应链管理方法</w:t>
      </w:r>
      <w:r>
        <w:rPr>
          <w:rFonts w:ascii="Arial" w:hAnsi="Arial" w:eastAsia="等线" w:cs="Arial"/>
          <w:sz w:val="22"/>
        </w:rPr>
        <w:t>：分别讲解三种核心管理方法，结合示意图和案例辅助理解：① 供应商管理库存（VMI）：供应商主动补货，核心是信息共享；② 快速响应（QR）：源于纺织服装业，核心是快速响应消费者需求，减少库存和时间；③ 有效客户响应（ECR）：“推”转“拉”，基于消费者数据优化供应链。</w:t>
      </w:r>
    </w:p>
    <w:p w14:paraId="09100FEA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供应链数字化转型</w:t>
      </w:r>
      <w:r>
        <w:rPr>
          <w:rFonts w:ascii="Arial" w:hAnsi="Arial" w:eastAsia="等线" w:cs="Arial"/>
          <w:sz w:val="22"/>
        </w:rPr>
        <w:t>：讲解电商供应链数字化转型的四个核心特征（数据驱动与可视化、智能化与自动化、智慧化与协同化、敏捷化与弹性化），结合京东“预售前置”模式等案例，说明每个特征的具体应用和优势。</w:t>
      </w:r>
    </w:p>
    <w:p w14:paraId="75745F7B">
      <w:pPr>
        <w:spacing w:before="260" w:after="120" w:line="288" w:lineRule="auto"/>
        <w:ind w:left="0"/>
        <w:jc w:val="left"/>
        <w:outlineLvl w:val="3"/>
      </w:pPr>
      <w:bookmarkStart w:id="24" w:name="heading_24"/>
      <w:r>
        <w:rPr>
          <w:rFonts w:ascii="Arial" w:hAnsi="Arial" w:eastAsia="等线" w:cs="Arial"/>
          <w:b/>
          <w:sz w:val="28"/>
        </w:rPr>
        <w:t>（三）课堂互动（15分钟）</w:t>
      </w:r>
      <w:bookmarkEnd w:id="24"/>
    </w:p>
    <w:p w14:paraId="5E393DF7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小组讨论：“结合京东供应链案例，分析其供应链数字化转型体现了哪些核心特征？采用了哪些供应链管理方法？”每组派代表发言，教师点评总结，强化对供应链管理的理解。</w:t>
      </w:r>
    </w:p>
    <w:p w14:paraId="51788F42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案例分析：给出某生鲜电商配送中心案例，让学生判断其按运营主体、内部特性、货物属性的分类，分析其运营优势。</w:t>
      </w:r>
    </w:p>
    <w:p w14:paraId="7133CD1A">
      <w:pPr>
        <w:spacing w:before="260" w:after="120" w:line="288" w:lineRule="auto"/>
        <w:ind w:left="0"/>
        <w:jc w:val="left"/>
        <w:outlineLvl w:val="3"/>
      </w:pPr>
      <w:bookmarkStart w:id="25" w:name="heading_25"/>
      <w:r>
        <w:rPr>
          <w:rFonts w:ascii="Arial" w:hAnsi="Arial" w:eastAsia="等线" w:cs="Arial"/>
          <w:b/>
          <w:sz w:val="28"/>
        </w:rPr>
        <w:t>（四）课堂小结与作业（5分钟）</w:t>
      </w:r>
      <w:bookmarkEnd w:id="25"/>
    </w:p>
    <w:p w14:paraId="665772EF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小结：梳理配送中心的分类、供应链与供应链管理的定义、三种管理方法及供应链数字化转型特征，构建“物流-配送-供应链”的知识体系。</w:t>
      </w:r>
    </w:p>
    <w:p w14:paraId="4ECCE37D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作业：梳理三种供应链管理方法的核心逻辑和应用场景，填写对比表格；分析1个电商供应链数字化转型案例，说明其体现的转型特征。</w:t>
      </w:r>
    </w:p>
    <w:p w14:paraId="182CAF7F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第4课时：单元实训与总结测评</w:t>
      </w:r>
      <w:bookmarkEnd w:id="26"/>
    </w:p>
    <w:p w14:paraId="114418DE">
      <w:pPr>
        <w:spacing w:before="260" w:after="120" w:line="288" w:lineRule="auto"/>
        <w:ind w:left="0"/>
        <w:jc w:val="left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第一部分：单元实训（60分钟）</w:t>
      </w:r>
      <w:bookmarkEnd w:id="27"/>
    </w:p>
    <w:p w14:paraId="40093D55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实训任务</w:t>
      </w:r>
      <w:r>
        <w:rPr>
          <w:rFonts w:ascii="Arial" w:hAnsi="Arial" w:eastAsia="等线" w:cs="Arial"/>
          <w:sz w:val="22"/>
        </w:rPr>
        <w:t>：以小组为单位（4-5人/组），完成“电子商务物流与供应链管理”实训任务：① 分析某电商企业（如京东、淘宝）的物流实现方式，评价其优劣；② 梳理该企业的配送流程，完善配送流程图，标注配送中心类型；③ 分析该企业的供应链管理方法及数字化转型特征；④ 填写实训报告，总结实训心得和核心知识点。</w:t>
      </w:r>
    </w:p>
    <w:p w14:paraId="43BEAFF9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实训过程</w:t>
      </w:r>
      <w:r>
        <w:rPr>
          <w:rFonts w:ascii="Arial" w:hAnsi="Arial" w:eastAsia="等线" w:cs="Arial"/>
          <w:sz w:val="22"/>
        </w:rPr>
        <w:t>：小组分工完成实训任务（企业分析、流程梳理、报告撰写），教师巡回指导，重点指导配送流程梳理、供应链管理方法分析，及时解决学生遇到的问题，突破教学难点。</w:t>
      </w:r>
    </w:p>
    <w:p w14:paraId="4E407C5D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成果展示</w:t>
      </w:r>
      <w:r>
        <w:rPr>
          <w:rFonts w:ascii="Arial" w:hAnsi="Arial" w:eastAsia="等线" w:cs="Arial"/>
          <w:sz w:val="22"/>
        </w:rPr>
        <w:t>：各小组派代表展示实训报告、配送流程图及企业分析结果，分享实训心得，教师点评，肯定亮点，指出不足并提出优化建议。</w:t>
      </w:r>
    </w:p>
    <w:p w14:paraId="2B5DB070">
      <w:pPr>
        <w:spacing w:before="260" w:after="120" w:line="288" w:lineRule="auto"/>
        <w:ind w:left="0"/>
        <w:jc w:val="left"/>
        <w:outlineLvl w:val="3"/>
      </w:pPr>
      <w:bookmarkStart w:id="28" w:name="heading_28"/>
      <w:r>
        <w:rPr>
          <w:rFonts w:ascii="Arial" w:hAnsi="Arial" w:eastAsia="等线" w:cs="Arial"/>
          <w:b/>
          <w:sz w:val="28"/>
        </w:rPr>
        <w:t>第二部分：单元总结与测评（30分钟）</w:t>
      </w:r>
      <w:bookmarkEnd w:id="28"/>
    </w:p>
    <w:p w14:paraId="578B4D70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总结：梳理本单元核心知识点，构建“物流（含义、功能、实现方式）-配送（流程、配送中心）-供应链（管理方法、数字化转型）”的完整知识体系，强调教学重点和难点。</w:t>
      </w:r>
    </w:p>
    <w:p w14:paraId="787330FD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测评：采用线上答题+现场提问的形式，考查学生核心知识点的掌握情况，重点考查物流功能、配送流程、供应链管理方法，侧重知识应用能力和逻辑梳理能力。</w:t>
      </w:r>
    </w:p>
    <w:p w14:paraId="09ABF9A0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五、教学评价设计</w:t>
      </w:r>
      <w:bookmarkEnd w:id="29"/>
    </w:p>
    <w:p w14:paraId="36EA6BAA">
      <w:pPr>
        <w:spacing w:before="300" w:after="120" w:line="288" w:lineRule="auto"/>
        <w:ind w:left="0"/>
        <w:jc w:val="left"/>
        <w:outlineLvl w:val="2"/>
      </w:pPr>
      <w:bookmarkStart w:id="30" w:name="heading_30"/>
      <w:r>
        <w:rPr>
          <w:rFonts w:ascii="Arial" w:hAnsi="Arial" w:eastAsia="等线" w:cs="Arial"/>
          <w:b/>
          <w:sz w:val="30"/>
        </w:rPr>
        <w:t>（一）过程性评价（60%）</w:t>
      </w:r>
      <w:bookmarkEnd w:id="30"/>
    </w:p>
    <w:p w14:paraId="0ECE1E20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课堂表现（20%）</w:t>
      </w:r>
      <w:r>
        <w:rPr>
          <w:rFonts w:ascii="Arial" w:hAnsi="Arial" w:eastAsia="等线" w:cs="Arial"/>
          <w:sz w:val="22"/>
        </w:rPr>
        <w:t>：根据学生课堂回答问题、小组讨论参与度、案例分析表现评分，评价维度：思维活跃度、表达能力、知识掌握程度、逻辑梳理能力。</w:t>
      </w:r>
    </w:p>
    <w:p w14:paraId="43EAF8C7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作业完成（20%）</w:t>
      </w:r>
      <w:r>
        <w:rPr>
          <w:rFonts w:ascii="Arial" w:hAnsi="Arial" w:eastAsia="等线" w:cs="Arial"/>
          <w:sz w:val="22"/>
        </w:rPr>
        <w:t>：根据物流功能案例整理、物流类型对比表格、配送流程图、供应链管理方法对比表格、案例分析笔记的完整性、准确性评分，评价维度：分析总结能力、知识应用能力、动手能力。</w:t>
      </w:r>
    </w:p>
    <w:p w14:paraId="001CD775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实训表现（20%）</w:t>
      </w:r>
      <w:r>
        <w:rPr>
          <w:rFonts w:ascii="Arial" w:hAnsi="Arial" w:eastAsia="等线" w:cs="Arial"/>
          <w:sz w:val="22"/>
        </w:rPr>
        <w:t>：根据小组实训报告、企业分析准确性、配送流程梳理完整性评分，采用“小组评分+个人分工贡献度评分”相结合的方式，评价维度：团队协作能力、知识应用能力、逻辑思维能力。</w:t>
      </w:r>
    </w:p>
    <w:p w14:paraId="02BF1F10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（二）终结性评价（40%）</w:t>
      </w:r>
      <w:bookmarkEnd w:id="31"/>
    </w:p>
    <w:p w14:paraId="000993BB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单元测评（30%）</w:t>
      </w:r>
      <w:r>
        <w:rPr>
          <w:rFonts w:ascii="Arial" w:hAnsi="Arial" w:eastAsia="等线" w:cs="Arial"/>
          <w:sz w:val="22"/>
        </w:rPr>
        <w:t>：根据线上答题+现场提问的综合成绩评分，重点考查核心知识点的理解和应用，侧重配送流程、供应链管理方法等重难点内容。</w:t>
      </w:r>
    </w:p>
    <w:p w14:paraId="3A65D06F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综合表现（10%）</w:t>
      </w:r>
      <w:r>
        <w:rPr>
          <w:rFonts w:ascii="Arial" w:hAnsi="Arial" w:eastAsia="等线" w:cs="Arial"/>
          <w:sz w:val="22"/>
        </w:rPr>
        <w:t>：结合学生课前预习、课堂纪律、实训态度、自主学习能力等综合表现进行评分。</w:t>
      </w:r>
    </w:p>
    <w:p w14:paraId="251FD9C3">
      <w:pPr>
        <w:spacing w:before="300" w:after="120" w:line="288" w:lineRule="auto"/>
        <w:ind w:left="0"/>
        <w:jc w:val="left"/>
        <w:outlineLvl w:val="2"/>
      </w:pPr>
      <w:bookmarkStart w:id="32" w:name="heading_32"/>
      <w:r>
        <w:rPr>
          <w:rFonts w:ascii="Arial" w:hAnsi="Arial" w:eastAsia="等线" w:cs="Arial"/>
          <w:b/>
          <w:sz w:val="30"/>
        </w:rPr>
        <w:t>（三）评价反馈</w:t>
      </w:r>
      <w:bookmarkEnd w:id="32"/>
    </w:p>
    <w:p w14:paraId="1484017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测评结束后，及时公布答案和评分标准，针对学生易错知识点（如配送流程衔接、供应链管理方法区分）进行集中讲解；对实训中的优秀案例进行班级分享，对存在的问题进行针对性指导，帮助学生查漏补缺，强化知识记忆和应用能力。</w:t>
      </w:r>
    </w:p>
    <w:p w14:paraId="6963342D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六、教学拓展与延伸</w:t>
      </w:r>
      <w:bookmarkEnd w:id="33"/>
    </w:p>
    <w:p w14:paraId="52F31B47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课后拓展</w:t>
      </w:r>
      <w:r>
        <w:rPr>
          <w:rFonts w:ascii="Arial" w:hAnsi="Arial" w:eastAsia="等线" w:cs="Arial"/>
          <w:sz w:val="22"/>
        </w:rPr>
        <w:t>：推荐学生关注物流行业资讯平台（如艾瑞网、亿邦动力网），阅读物流行业发展报告，了解我国第三方物流企业的发展现状；查阅《物流术语》（GB/T 18354—2021）全文，深入学习相关术语和规范。</w:t>
      </w:r>
    </w:p>
    <w:p w14:paraId="6CBE5F68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实践延伸</w:t>
      </w:r>
      <w:r>
        <w:rPr>
          <w:rFonts w:ascii="Arial" w:hAnsi="Arial" w:eastAsia="等线" w:cs="Arial"/>
          <w:sz w:val="22"/>
        </w:rPr>
        <w:t>：布置学生利用课余时间，调研身边的物流配送中心，分析其类型、运营特点及配送流程；跟踪某电商企业的物流服务，记录其配送时效、服务质量，分析其供应链管理优势。</w:t>
      </w:r>
    </w:p>
    <w:p w14:paraId="3D1164EC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知识拓展</w:t>
      </w:r>
      <w:r>
        <w:rPr>
          <w:rFonts w:ascii="Arial" w:hAnsi="Arial" w:eastAsia="等线" w:cs="Arial"/>
          <w:sz w:val="22"/>
        </w:rPr>
        <w:t>：补充学习WMS仓库管理系统、物联网技术在物流中的具体应用，了解跨境物流的核心流程和供应链管理要点；深入学习C2M模式的内涵，理解其对供应链敏捷化的推动作用。</w:t>
      </w:r>
    </w:p>
    <w:p w14:paraId="5324F4A1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职业延伸</w:t>
      </w:r>
      <w:r>
        <w:rPr>
          <w:rFonts w:ascii="Arial" w:hAnsi="Arial" w:eastAsia="等线" w:cs="Arial"/>
          <w:sz w:val="22"/>
        </w:rPr>
        <w:t>：梳理电商物流运营、供应链管理、配送中心管理等相关岗位，介绍各岗位的核心技能要求和职业发展路径，为学生后续职业规划提供参考。</w:t>
      </w:r>
    </w:p>
    <w:p w14:paraId="30E6F1C7"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七、教学反思</w:t>
      </w:r>
      <w:bookmarkEnd w:id="34"/>
    </w:p>
    <w:p w14:paraId="5DF0A739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单元知识点较繁杂，需注重结合教材引例和学生熟悉的电商案例进行讲解，避免抽象化，提升学生的理解度；尤其是电子商务配送流程这一难点，需通过流程图演示、案例拆解、小组实操等方式，帮助学生消化知识点。</w:t>
      </w:r>
    </w:p>
    <w:p w14:paraId="2C2DFCAD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教学中需强化“物流-配送-供应链”的逻辑关联，让学生理解三者的协同关系，避免知识点碎片化；供应链管理方法和数字化转型特征需结合具体案例，让学生直观感受其应用场景和优势。</w:t>
      </w:r>
    </w:p>
    <w:p w14:paraId="7E86103F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实训环节需加强小组分工指导，避免出现“少数人主导、多数人参与度低”的情况，可设置明确的分工表，确保每位学生都能参与企业分析、流程梳理和报告撰写，培养团队协作能力和逻辑思维能力。</w:t>
      </w:r>
    </w:p>
    <w:p w14:paraId="1E084212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后续教学中，可结合物流行业的最新发展（如智慧物流、农村电商物流提质升级），及时补充相关案例和资讯，确保教学内容的时效性；同时可增加课前预习检查环节，帮助学生提前掌握基础知识点，提升课堂教学效率。</w:t>
      </w:r>
    </w:p>
    <w:p w14:paraId="668070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BF78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A1BE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3A4B87"/>
    <w:multiLevelType w:val="singleLevel"/>
    <w:tmpl w:val="813A4B8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">
    <w:nsid w:val="845B5372"/>
    <w:multiLevelType w:val="singleLevel"/>
    <w:tmpl w:val="845B537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">
    <w:nsid w:val="8461FADE"/>
    <w:multiLevelType w:val="singleLevel"/>
    <w:tmpl w:val="8461FAD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CAEB125"/>
    <w:multiLevelType w:val="singleLevel"/>
    <w:tmpl w:val="8CAEB1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">
    <w:nsid w:val="91995D4F"/>
    <w:multiLevelType w:val="singleLevel"/>
    <w:tmpl w:val="91995D4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239341B"/>
    <w:multiLevelType w:val="singleLevel"/>
    <w:tmpl w:val="9239341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">
    <w:nsid w:val="9288B902"/>
    <w:multiLevelType w:val="singleLevel"/>
    <w:tmpl w:val="9288B90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">
    <w:nsid w:val="9C8AC8EF"/>
    <w:multiLevelType w:val="singleLevel"/>
    <w:tmpl w:val="9C8AC8E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">
    <w:nsid w:val="B0F1ACD9"/>
    <w:multiLevelType w:val="singleLevel"/>
    <w:tmpl w:val="B0F1ACD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B53F3350"/>
    <w:multiLevelType w:val="singleLevel"/>
    <w:tmpl w:val="B53F335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0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1">
    <w:nsid w:val="B8CEF35B"/>
    <w:multiLevelType w:val="singleLevel"/>
    <w:tmpl w:val="B8CEF3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BB64CFA9"/>
    <w:multiLevelType w:val="singleLevel"/>
    <w:tmpl w:val="BB64CFA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3">
    <w:nsid w:val="BE923771"/>
    <w:multiLevelType w:val="singleLevel"/>
    <w:tmpl w:val="BE923771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4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5">
    <w:nsid w:val="C8879AEF"/>
    <w:multiLevelType w:val="singleLevel"/>
    <w:tmpl w:val="C8879AE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6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7">
    <w:nsid w:val="D7D140E4"/>
    <w:multiLevelType w:val="singleLevel"/>
    <w:tmpl w:val="D7D140E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8">
    <w:nsid w:val="D7F9FE59"/>
    <w:multiLevelType w:val="singleLevel"/>
    <w:tmpl w:val="D7F9FE5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9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0">
    <w:nsid w:val="E093A4B0"/>
    <w:multiLevelType w:val="singleLevel"/>
    <w:tmpl w:val="E093A4B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1">
    <w:nsid w:val="F0E89278"/>
    <w:multiLevelType w:val="singleLevel"/>
    <w:tmpl w:val="F0E8927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2">
    <w:nsid w:val="F4B5D9F5"/>
    <w:multiLevelType w:val="singleLevel"/>
    <w:tmpl w:val="F4B5D9F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3">
    <w:nsid w:val="F7735DC9"/>
    <w:multiLevelType w:val="singleLevel"/>
    <w:tmpl w:val="F7735DC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4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5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6">
    <w:nsid w:val="03A63A41"/>
    <w:multiLevelType w:val="singleLevel"/>
    <w:tmpl w:val="03A63A41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8">
    <w:nsid w:val="0709FD3E"/>
    <w:multiLevelType w:val="singleLevel"/>
    <w:tmpl w:val="0709FD3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0CEF100B"/>
    <w:multiLevelType w:val="singleLevel"/>
    <w:tmpl w:val="0CEF100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0">
    <w:nsid w:val="0E640482"/>
    <w:multiLevelType w:val="singleLevel"/>
    <w:tmpl w:val="0E64048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0F9F9CCA"/>
    <w:multiLevelType w:val="singleLevel"/>
    <w:tmpl w:val="0F9F9C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2">
    <w:nsid w:val="1ACDE60F"/>
    <w:multiLevelType w:val="singleLevel"/>
    <w:tmpl w:val="1ACDE60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3">
    <w:nsid w:val="1C257C7B"/>
    <w:multiLevelType w:val="singleLevel"/>
    <w:tmpl w:val="1C257C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4">
    <w:nsid w:val="23E97754"/>
    <w:multiLevelType w:val="singleLevel"/>
    <w:tmpl w:val="23E9775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5">
    <w:nsid w:val="243FCF68"/>
    <w:multiLevelType w:val="singleLevel"/>
    <w:tmpl w:val="243FCF6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6">
    <w:nsid w:val="2470EC97"/>
    <w:multiLevelType w:val="singleLevel"/>
    <w:tmpl w:val="2470EC97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7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8">
    <w:nsid w:val="2A8F537B"/>
    <w:multiLevelType w:val="singleLevel"/>
    <w:tmpl w:val="2A8F537B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9">
    <w:nsid w:val="30FC5B15"/>
    <w:multiLevelType w:val="singleLevel"/>
    <w:tmpl w:val="30FC5B1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0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1">
    <w:nsid w:val="32A7AF2D"/>
    <w:multiLevelType w:val="singleLevel"/>
    <w:tmpl w:val="32A7AF2D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2">
    <w:nsid w:val="35E83B33"/>
    <w:multiLevelType w:val="singleLevel"/>
    <w:tmpl w:val="35E83B3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3">
    <w:nsid w:val="39A0D9AC"/>
    <w:multiLevelType w:val="singleLevel"/>
    <w:tmpl w:val="39A0D9AC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4">
    <w:nsid w:val="40B249F9"/>
    <w:multiLevelType w:val="singleLevel"/>
    <w:tmpl w:val="40B249F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5">
    <w:nsid w:val="46A08BB8"/>
    <w:multiLevelType w:val="singleLevel"/>
    <w:tmpl w:val="46A08BB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6">
    <w:nsid w:val="4C1BAE26"/>
    <w:multiLevelType w:val="singleLevel"/>
    <w:tmpl w:val="4C1BAE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7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8">
    <w:nsid w:val="4D4DC07F"/>
    <w:multiLevelType w:val="singleLevel"/>
    <w:tmpl w:val="4D4DC07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9">
    <w:nsid w:val="4D94DA66"/>
    <w:multiLevelType w:val="singleLevel"/>
    <w:tmpl w:val="4D94DA66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0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2">
    <w:nsid w:val="5A241D34"/>
    <w:multiLevelType w:val="singleLevel"/>
    <w:tmpl w:val="5A241D3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3">
    <w:nsid w:val="5E29AB5A"/>
    <w:multiLevelType w:val="singleLevel"/>
    <w:tmpl w:val="5E29AB5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4">
    <w:nsid w:val="5FFFB1A7"/>
    <w:multiLevelType w:val="singleLevel"/>
    <w:tmpl w:val="5FFFB1A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5">
    <w:nsid w:val="60382F6E"/>
    <w:multiLevelType w:val="singleLevel"/>
    <w:tmpl w:val="60382F6E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629F7852"/>
    <w:multiLevelType w:val="singleLevel"/>
    <w:tmpl w:val="629F785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7">
    <w:nsid w:val="65CD0074"/>
    <w:multiLevelType w:val="singleLevel"/>
    <w:tmpl w:val="65CD00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8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9">
    <w:nsid w:val="74C28B35"/>
    <w:multiLevelType w:val="singleLevel"/>
    <w:tmpl w:val="74C28B3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0">
    <w:nsid w:val="77ECEA79"/>
    <w:multiLevelType w:val="singleLevel"/>
    <w:tmpl w:val="77ECEA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1">
    <w:nsid w:val="79AA4FA4"/>
    <w:multiLevelType w:val="singleLevel"/>
    <w:tmpl w:val="79AA4FA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2">
    <w:nsid w:val="7C246926"/>
    <w:multiLevelType w:val="singleLevel"/>
    <w:tmpl w:val="7C24692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3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24"/>
  </w:num>
  <w:num w:numId="2">
    <w:abstractNumId w:val="16"/>
  </w:num>
  <w:num w:numId="3">
    <w:abstractNumId w:val="51"/>
  </w:num>
  <w:num w:numId="4">
    <w:abstractNumId w:val="14"/>
  </w:num>
  <w:num w:numId="5">
    <w:abstractNumId w:val="10"/>
  </w:num>
  <w:num w:numId="6">
    <w:abstractNumId w:val="27"/>
  </w:num>
  <w:num w:numId="7">
    <w:abstractNumId w:val="37"/>
  </w:num>
  <w:num w:numId="8">
    <w:abstractNumId w:val="58"/>
  </w:num>
  <w:num w:numId="9">
    <w:abstractNumId w:val="25"/>
  </w:num>
  <w:num w:numId="10">
    <w:abstractNumId w:val="5"/>
  </w:num>
  <w:num w:numId="11">
    <w:abstractNumId w:val="38"/>
  </w:num>
  <w:num w:numId="12">
    <w:abstractNumId w:val="52"/>
  </w:num>
  <w:num w:numId="13">
    <w:abstractNumId w:val="15"/>
  </w:num>
  <w:num w:numId="14">
    <w:abstractNumId w:val="48"/>
  </w:num>
  <w:num w:numId="15">
    <w:abstractNumId w:val="22"/>
  </w:num>
  <w:num w:numId="16">
    <w:abstractNumId w:val="36"/>
  </w:num>
  <w:num w:numId="17">
    <w:abstractNumId w:val="19"/>
  </w:num>
  <w:num w:numId="18">
    <w:abstractNumId w:val="18"/>
  </w:num>
  <w:num w:numId="19">
    <w:abstractNumId w:val="7"/>
  </w:num>
  <w:num w:numId="20">
    <w:abstractNumId w:val="46"/>
  </w:num>
  <w:num w:numId="21">
    <w:abstractNumId w:val="55"/>
  </w:num>
  <w:num w:numId="22">
    <w:abstractNumId w:val="30"/>
  </w:num>
  <w:num w:numId="23">
    <w:abstractNumId w:val="45"/>
  </w:num>
  <w:num w:numId="24">
    <w:abstractNumId w:val="8"/>
  </w:num>
  <w:num w:numId="25">
    <w:abstractNumId w:val="62"/>
  </w:num>
  <w:num w:numId="26">
    <w:abstractNumId w:val="60"/>
  </w:num>
  <w:num w:numId="27">
    <w:abstractNumId w:val="13"/>
  </w:num>
  <w:num w:numId="28">
    <w:abstractNumId w:val="56"/>
  </w:num>
  <w:num w:numId="29">
    <w:abstractNumId w:val="6"/>
  </w:num>
  <w:num w:numId="30">
    <w:abstractNumId w:val="43"/>
  </w:num>
  <w:num w:numId="31">
    <w:abstractNumId w:val="2"/>
  </w:num>
  <w:num w:numId="32">
    <w:abstractNumId w:val="50"/>
  </w:num>
  <w:num w:numId="33">
    <w:abstractNumId w:val="63"/>
  </w:num>
  <w:num w:numId="34">
    <w:abstractNumId w:val="0"/>
  </w:num>
  <w:num w:numId="35">
    <w:abstractNumId w:val="35"/>
  </w:num>
  <w:num w:numId="36">
    <w:abstractNumId w:val="49"/>
  </w:num>
  <w:num w:numId="37">
    <w:abstractNumId w:val="23"/>
  </w:num>
  <w:num w:numId="38">
    <w:abstractNumId w:val="20"/>
  </w:num>
  <w:num w:numId="39">
    <w:abstractNumId w:val="39"/>
  </w:num>
  <w:num w:numId="40">
    <w:abstractNumId w:val="61"/>
  </w:num>
  <w:num w:numId="41">
    <w:abstractNumId w:val="12"/>
  </w:num>
  <w:num w:numId="42">
    <w:abstractNumId w:val="4"/>
  </w:num>
  <w:num w:numId="43">
    <w:abstractNumId w:val="11"/>
  </w:num>
  <w:num w:numId="44">
    <w:abstractNumId w:val="53"/>
  </w:num>
  <w:num w:numId="45">
    <w:abstractNumId w:val="1"/>
  </w:num>
  <w:num w:numId="46">
    <w:abstractNumId w:val="32"/>
  </w:num>
  <w:num w:numId="47">
    <w:abstractNumId w:val="3"/>
  </w:num>
  <w:num w:numId="48">
    <w:abstractNumId w:val="54"/>
  </w:num>
  <w:num w:numId="49">
    <w:abstractNumId w:val="59"/>
  </w:num>
  <w:num w:numId="50">
    <w:abstractNumId w:val="47"/>
  </w:num>
  <w:num w:numId="51">
    <w:abstractNumId w:val="40"/>
  </w:num>
  <w:num w:numId="52">
    <w:abstractNumId w:val="57"/>
  </w:num>
  <w:num w:numId="53">
    <w:abstractNumId w:val="28"/>
  </w:num>
  <w:num w:numId="54">
    <w:abstractNumId w:val="29"/>
  </w:num>
  <w:num w:numId="55">
    <w:abstractNumId w:val="17"/>
  </w:num>
  <w:num w:numId="56">
    <w:abstractNumId w:val="41"/>
  </w:num>
  <w:num w:numId="57">
    <w:abstractNumId w:val="33"/>
  </w:num>
  <w:num w:numId="58">
    <w:abstractNumId w:val="21"/>
  </w:num>
  <w:num w:numId="59">
    <w:abstractNumId w:val="34"/>
  </w:num>
  <w:num w:numId="60">
    <w:abstractNumId w:val="9"/>
  </w:num>
  <w:num w:numId="61">
    <w:abstractNumId w:val="44"/>
  </w:num>
  <w:num w:numId="62">
    <w:abstractNumId w:val="31"/>
  </w:num>
  <w:num w:numId="63">
    <w:abstractNumId w:val="42"/>
  </w:num>
  <w:num w:numId="6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31750"/>
    <w:rsid w:val="13531750"/>
    <w:rsid w:val="62D3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5476</Words>
  <Characters>5564</Characters>
  <Lines>0</Lines>
  <Paragraphs>0</Paragraphs>
  <TotalTime>0</TotalTime>
  <ScaleCrop>false</ScaleCrop>
  <LinksUpToDate>false</LinksUpToDate>
  <CharactersWithSpaces>5583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2026-03-05T13:39:00Z</dcterms:created>
  <dc:creator>feng</dc:creator>
  <cp:lastModifiedBy>feng</cp:lastModifiedBy>
  <dcterms:modified xsi:type="dcterms:W3CDTF">2026-03-08T10:57:55Z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112E447387474217957191F3D4C0663B_11</vt:lpwstr>
  </property>
  <property fmtid="{D5CDD505-2E9C-101B-9397-08002B2CF9AE}" pid="4" name="KSOTemplateDocerSaveRecord">
    <vt:lpwstr>eyJoZGlkIjoiY2M0ZThjZGQyY2Q3ZGVlNGE4NDAyZDM3NmU4ZDZkMzIiLCJ1c2VySWQiOiI0MTAzNDgxMzgifQ==</vt:lpwstr>
  </property>
</Properties>
</file>