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2136"/>
        <w:gridCol w:w="2069"/>
        <w:gridCol w:w="1392"/>
        <w:gridCol w:w="3571"/>
        <w:gridCol w:w="1738"/>
        <w:gridCol w:w="1867"/>
      </w:tblGrid>
      <w:tr w14:paraId="3A2C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4010" w:type="dxa"/>
            <w:gridSpan w:val="7"/>
            <w:tcBorders>
              <w:tl2br w:val="nil"/>
              <w:tr2bl w:val="nil"/>
            </w:tcBorders>
            <w:shd w:val="clear" w:color="auto" w:fill="0070C0"/>
            <w:noWrap w:val="0"/>
            <w:vAlign w:val="center"/>
          </w:tcPr>
          <w:p w14:paraId="25E75E11">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FFFFFF"/>
                <w:kern w:val="0"/>
                <w:sz w:val="36"/>
                <w:szCs w:val="36"/>
                <w:shd w:val="clear" w:color="auto" w:fill="FFFFFF"/>
                <w:lang w:bidi="he-IL"/>
              </w:rPr>
              <w:t>一、教学基本情况</w:t>
            </w:r>
          </w:p>
        </w:tc>
      </w:tr>
      <w:tr w14:paraId="1328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237" w:type="dxa"/>
            <w:tcBorders>
              <w:tl2br w:val="nil"/>
              <w:tr2bl w:val="nil"/>
            </w:tcBorders>
            <w:shd w:val="clear" w:color="auto" w:fill="B8CCE4"/>
            <w:noWrap w:val="0"/>
            <w:vAlign w:val="center"/>
          </w:tcPr>
          <w:p w14:paraId="7AE2E0A0">
            <w:pPr>
              <w:spacing w:before="16"/>
              <w:ind w:right="-50"/>
              <w:jc w:val="left"/>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授课单元</w:t>
            </w:r>
          </w:p>
        </w:tc>
        <w:tc>
          <w:tcPr>
            <w:tcW w:w="4205" w:type="dxa"/>
            <w:gridSpan w:val="2"/>
            <w:tcBorders>
              <w:right w:val="single" w:color="auto" w:sz="4" w:space="0"/>
              <w:tl2br w:val="nil"/>
              <w:tr2bl w:val="nil"/>
            </w:tcBorders>
            <w:shd w:val="clear" w:color="auto" w:fill="auto"/>
            <w:noWrap w:val="0"/>
            <w:vAlign w:val="center"/>
          </w:tcPr>
          <w:p w14:paraId="6BF67856">
            <w:pPr>
              <w:spacing w:before="16"/>
              <w:ind w:right="-50"/>
              <w:jc w:val="center"/>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模块二  搭建零售门店O2O运营基础</w:t>
            </w:r>
          </w:p>
        </w:tc>
        <w:tc>
          <w:tcPr>
            <w:tcW w:w="1392" w:type="dxa"/>
            <w:tcBorders>
              <w:left w:val="single" w:color="auto" w:sz="4" w:space="0"/>
              <w:right w:val="single" w:color="auto" w:sz="4" w:space="0"/>
              <w:tl2br w:val="nil"/>
              <w:tr2bl w:val="nil"/>
            </w:tcBorders>
            <w:shd w:val="clear" w:color="auto" w:fill="B8CCE4"/>
            <w:noWrap w:val="0"/>
            <w:vAlign w:val="center"/>
          </w:tcPr>
          <w:p w14:paraId="031E781F">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授课班级</w:t>
            </w:r>
          </w:p>
        </w:tc>
        <w:tc>
          <w:tcPr>
            <w:tcW w:w="3571" w:type="dxa"/>
            <w:tcBorders>
              <w:left w:val="single" w:color="auto" w:sz="4" w:space="0"/>
              <w:right w:val="single" w:color="auto" w:sz="4" w:space="0"/>
              <w:tl2br w:val="nil"/>
              <w:tr2bl w:val="nil"/>
            </w:tcBorders>
            <w:shd w:val="clear" w:color="auto" w:fill="FFFFFF"/>
            <w:noWrap w:val="0"/>
            <w:vAlign w:val="center"/>
          </w:tcPr>
          <w:p w14:paraId="0AF0FEBC">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202</w:t>
            </w:r>
            <w:r>
              <w:rPr>
                <w:rFonts w:hint="eastAsia" w:ascii="微软雅黑" w:hAnsi="微软雅黑" w:eastAsia="微软雅黑" w:cs="微软雅黑"/>
                <w:b/>
                <w:bCs/>
                <w:color w:val="333333"/>
                <w:kern w:val="0"/>
                <w:sz w:val="24"/>
                <w:lang w:val="en-US" w:eastAsia="zh-CN" w:bidi="he-IL"/>
              </w:rPr>
              <w:t>4</w:t>
            </w:r>
            <w:r>
              <w:rPr>
                <w:rFonts w:hint="eastAsia" w:ascii="微软雅黑" w:hAnsi="微软雅黑" w:eastAsia="微软雅黑" w:cs="微软雅黑"/>
                <w:b/>
                <w:bCs/>
                <w:color w:val="333333"/>
                <w:kern w:val="0"/>
                <w:sz w:val="24"/>
                <w:lang w:bidi="he-IL"/>
              </w:rPr>
              <w:t>级</w:t>
            </w:r>
            <w:r>
              <w:rPr>
                <w:rFonts w:hint="eastAsia" w:ascii="微软雅黑" w:hAnsi="微软雅黑" w:eastAsia="微软雅黑" w:cs="微软雅黑"/>
                <w:b/>
                <w:bCs/>
                <w:color w:val="333333"/>
                <w:kern w:val="0"/>
                <w:sz w:val="24"/>
                <w:lang w:val="en-US" w:eastAsia="zh-CN" w:bidi="he-IL"/>
              </w:rPr>
              <w:t>电子商务专业</w:t>
            </w:r>
          </w:p>
        </w:tc>
        <w:tc>
          <w:tcPr>
            <w:tcW w:w="1738" w:type="dxa"/>
            <w:tcBorders>
              <w:left w:val="single" w:color="auto" w:sz="4" w:space="0"/>
              <w:right w:val="single" w:color="auto" w:sz="4" w:space="0"/>
              <w:tl2br w:val="nil"/>
              <w:tr2bl w:val="nil"/>
            </w:tcBorders>
            <w:shd w:val="clear" w:color="auto" w:fill="B8CCE4"/>
            <w:noWrap w:val="0"/>
            <w:vAlign w:val="top"/>
          </w:tcPr>
          <w:p w14:paraId="44833343">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授课形式</w:t>
            </w:r>
          </w:p>
        </w:tc>
        <w:tc>
          <w:tcPr>
            <w:tcW w:w="1867" w:type="dxa"/>
            <w:tcBorders>
              <w:left w:val="single" w:color="auto" w:sz="4" w:space="0"/>
              <w:tl2br w:val="nil"/>
              <w:tr2bl w:val="nil"/>
            </w:tcBorders>
            <w:noWrap w:val="0"/>
            <w:vAlign w:val="top"/>
          </w:tcPr>
          <w:p w14:paraId="165F90D9">
            <w:pPr>
              <w:spacing w:before="16"/>
              <w:ind w:right="-50"/>
              <w:jc w:val="center"/>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线上线下结合</w:t>
            </w:r>
          </w:p>
        </w:tc>
      </w:tr>
      <w:tr w14:paraId="49EC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237" w:type="dxa"/>
            <w:tcBorders>
              <w:tl2br w:val="nil"/>
              <w:tr2bl w:val="nil"/>
            </w:tcBorders>
            <w:shd w:val="clear" w:color="auto" w:fill="B8CCE4"/>
            <w:noWrap w:val="0"/>
            <w:vAlign w:val="center"/>
          </w:tcPr>
          <w:p w14:paraId="62BC42E2">
            <w:pPr>
              <w:spacing w:before="16"/>
              <w:ind w:right="-50" w:rightChars="0"/>
              <w:jc w:val="left"/>
              <w:rPr>
                <w:rFonts w:hint="eastAsia" w:ascii="微软雅黑" w:hAnsi="微软雅黑" w:eastAsia="微软雅黑" w:cs="微软雅黑"/>
                <w:b/>
                <w:bCs/>
                <w:color w:val="333333"/>
                <w:kern w:val="0"/>
                <w:sz w:val="24"/>
                <w:szCs w:val="24"/>
                <w:lang w:val="en-US" w:eastAsia="zh-CN" w:bidi="he-IL"/>
              </w:rPr>
            </w:pPr>
            <w:r>
              <w:rPr>
                <w:rFonts w:hint="eastAsia" w:ascii="微软雅黑" w:hAnsi="微软雅黑" w:eastAsia="微软雅黑" w:cs="微软雅黑"/>
                <w:b/>
                <w:bCs/>
                <w:color w:val="333333"/>
                <w:kern w:val="0"/>
                <w:sz w:val="24"/>
                <w:lang w:eastAsia="zh-CN" w:bidi="he-IL"/>
              </w:rPr>
              <w:t>任务</w:t>
            </w:r>
            <w:r>
              <w:rPr>
                <w:rFonts w:hint="eastAsia" w:ascii="微软雅黑" w:hAnsi="微软雅黑" w:eastAsia="微软雅黑" w:cs="微软雅黑"/>
                <w:b/>
                <w:bCs/>
                <w:color w:val="333333"/>
                <w:kern w:val="0"/>
                <w:sz w:val="24"/>
                <w:lang w:bidi="he-IL"/>
              </w:rPr>
              <w:t>名称</w:t>
            </w:r>
          </w:p>
        </w:tc>
        <w:tc>
          <w:tcPr>
            <w:tcW w:w="4205" w:type="dxa"/>
            <w:gridSpan w:val="2"/>
            <w:tcBorders>
              <w:right w:val="single" w:color="auto" w:sz="4" w:space="0"/>
              <w:tl2br w:val="nil"/>
              <w:tr2bl w:val="nil"/>
            </w:tcBorders>
            <w:shd w:val="clear" w:color="auto" w:fill="auto"/>
            <w:noWrap w:val="0"/>
            <w:vAlign w:val="center"/>
          </w:tcPr>
          <w:p w14:paraId="794FEAF2">
            <w:pPr>
              <w:spacing w:before="16"/>
              <w:ind w:right="-50" w:rightChars="0"/>
              <w:jc w:val="center"/>
              <w:rPr>
                <w:rFonts w:hint="default" w:ascii="微软雅黑" w:hAnsi="微软雅黑" w:eastAsia="微软雅黑" w:cs="微软雅黑"/>
                <w:b/>
                <w:bCs/>
                <w:color w:val="333333"/>
                <w:kern w:val="0"/>
                <w:sz w:val="24"/>
                <w:szCs w:val="24"/>
                <w:lang w:val="en-US" w:eastAsia="zh-CN" w:bidi="he-IL"/>
              </w:rPr>
            </w:pPr>
            <w:r>
              <w:rPr>
                <w:rFonts w:hint="eastAsia" w:ascii="微软雅黑" w:hAnsi="微软雅黑" w:eastAsia="微软雅黑" w:cs="微软雅黑"/>
                <w:b/>
                <w:bCs/>
                <w:color w:val="333333"/>
                <w:kern w:val="0"/>
                <w:sz w:val="24"/>
                <w:lang w:val="en-US" w:eastAsia="zh-CN" w:bidi="he-IL"/>
              </w:rPr>
              <w:t>任务2.4零售门店内部场景的搭建</w:t>
            </w:r>
          </w:p>
        </w:tc>
        <w:tc>
          <w:tcPr>
            <w:tcW w:w="1392" w:type="dxa"/>
            <w:tcBorders>
              <w:left w:val="single" w:color="auto" w:sz="4" w:space="0"/>
              <w:right w:val="single" w:color="auto" w:sz="4" w:space="0"/>
              <w:tl2br w:val="nil"/>
              <w:tr2bl w:val="nil"/>
            </w:tcBorders>
            <w:shd w:val="clear" w:color="auto" w:fill="B8CCE4"/>
            <w:noWrap w:val="0"/>
            <w:vAlign w:val="center"/>
          </w:tcPr>
          <w:p w14:paraId="23E93E74">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授课地点</w:t>
            </w:r>
          </w:p>
        </w:tc>
        <w:tc>
          <w:tcPr>
            <w:tcW w:w="3571" w:type="dxa"/>
            <w:tcBorders>
              <w:left w:val="single" w:color="auto" w:sz="4" w:space="0"/>
              <w:right w:val="single" w:color="auto" w:sz="4" w:space="0"/>
              <w:tl2br w:val="nil"/>
              <w:tr2bl w:val="nil"/>
            </w:tcBorders>
            <w:shd w:val="clear" w:color="auto" w:fill="FFFFFF"/>
            <w:noWrap w:val="0"/>
            <w:vAlign w:val="center"/>
          </w:tcPr>
          <w:p w14:paraId="07CA6208">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实训室</w:t>
            </w:r>
          </w:p>
        </w:tc>
        <w:tc>
          <w:tcPr>
            <w:tcW w:w="1738" w:type="dxa"/>
            <w:tcBorders>
              <w:left w:val="single" w:color="auto" w:sz="4" w:space="0"/>
              <w:right w:val="single" w:color="auto" w:sz="4" w:space="0"/>
              <w:tl2br w:val="nil"/>
              <w:tr2bl w:val="nil"/>
            </w:tcBorders>
            <w:shd w:val="clear" w:color="auto" w:fill="B8CCE4"/>
            <w:noWrap w:val="0"/>
            <w:vAlign w:val="top"/>
          </w:tcPr>
          <w:p w14:paraId="2EC89CC6">
            <w:pPr>
              <w:spacing w:before="16"/>
              <w:ind w:right="-50" w:rightChars="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bidi="he-IL"/>
              </w:rPr>
              <w:t>课时数</w:t>
            </w:r>
          </w:p>
        </w:tc>
        <w:tc>
          <w:tcPr>
            <w:tcW w:w="1867" w:type="dxa"/>
            <w:tcBorders>
              <w:left w:val="single" w:color="auto" w:sz="4" w:space="0"/>
              <w:tl2br w:val="nil"/>
              <w:tr2bl w:val="nil"/>
            </w:tcBorders>
            <w:noWrap w:val="0"/>
            <w:vAlign w:val="top"/>
          </w:tcPr>
          <w:p w14:paraId="2995E3A2">
            <w:pPr>
              <w:spacing w:before="16"/>
              <w:ind w:right="-50" w:rightChars="0"/>
              <w:jc w:val="center"/>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2</w:t>
            </w:r>
          </w:p>
        </w:tc>
      </w:tr>
      <w:tr w14:paraId="648DA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trPr>
        <w:tc>
          <w:tcPr>
            <w:tcW w:w="1237" w:type="dxa"/>
            <w:tcBorders>
              <w:bottom w:val="single" w:color="auto" w:sz="4" w:space="0"/>
              <w:tl2br w:val="nil"/>
              <w:tr2bl w:val="nil"/>
            </w:tcBorders>
            <w:shd w:val="clear" w:color="auto" w:fill="B8CCE4"/>
            <w:noWrap w:val="0"/>
            <w:vAlign w:val="center"/>
          </w:tcPr>
          <w:p w14:paraId="0858828E">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学情分析</w:t>
            </w:r>
          </w:p>
        </w:tc>
        <w:tc>
          <w:tcPr>
            <w:tcW w:w="12773" w:type="dxa"/>
            <w:gridSpan w:val="6"/>
            <w:tcBorders>
              <w:bottom w:val="single" w:color="auto" w:sz="4" w:space="0"/>
              <w:tl2br w:val="nil"/>
              <w:tr2bl w:val="nil"/>
            </w:tcBorders>
            <w:noWrap w:val="0"/>
            <w:vAlign w:val="center"/>
          </w:tcPr>
          <w:p w14:paraId="59D21398">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知识与技能：已学习 O2O 运营生态系统架构、线上渠道布局等核心知识，掌握新零售与 O2O 运营基础理论，具备基础的 AI 工具应用与门店调研能力，对零售场景打造有初步认知，但缺乏系统的卖场规划与场景设计实操经验。</w:t>
            </w:r>
          </w:p>
          <w:p w14:paraId="444461CE">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认知与实践：逻辑分析能力较弱，形象思维优于抽象思维，知识迁移能力不足，无法将卖场规划原则、商品陈列方法与门店实际业态结合，缺乏互动式、沉浸式场景的设计能力，对 VR/AR 等场景搭建技术的实际应用掌握不足。</w:t>
            </w:r>
          </w:p>
          <w:p w14:paraId="073EC8C8">
            <w:pPr>
              <w:numPr>
                <w:ilvl w:val="0"/>
                <w:numId w:val="0"/>
              </w:numPr>
              <w:spacing w:before="16"/>
              <w:ind w:right="-50" w:rightChars="0"/>
              <w:jc w:val="left"/>
              <w:rPr>
                <w:rFonts w:hint="eastAsia" w:ascii="微软雅黑" w:hAnsi="微软雅黑" w:eastAsia="微软雅黑" w:cs="微软雅黑"/>
                <w:color w:val="333333"/>
                <w:kern w:val="0"/>
                <w:sz w:val="24"/>
                <w:lang w:bidi="he-IL"/>
              </w:rPr>
            </w:pPr>
            <w:r>
              <w:rPr>
                <w:rFonts w:hint="eastAsia" w:ascii="微软雅黑" w:hAnsi="微软雅黑" w:eastAsia="微软雅黑" w:cs="微软雅黑"/>
                <w:color w:val="333333"/>
                <w:kern w:val="0"/>
                <w:sz w:val="24"/>
                <w:lang w:val="en-US" w:eastAsia="zh-CN" w:bidi="he-IL"/>
              </w:rPr>
              <w:t>3 学习特点：善用智能终端获取知识，对 VR/AR、元宇宙等新技术兴趣浓厚；动手能力强，喜欢实操类学习任务；独立解决问题能力不足，对场景设计的创意构思与落地执行缺乏主动性。</w:t>
            </w:r>
          </w:p>
        </w:tc>
      </w:tr>
      <w:tr w14:paraId="50AA2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237" w:type="dxa"/>
            <w:vMerge w:val="restart"/>
            <w:tcBorders>
              <w:top w:val="single" w:color="auto" w:sz="4" w:space="0"/>
              <w:bottom w:val="single" w:color="auto" w:sz="4" w:space="0"/>
              <w:tl2br w:val="nil"/>
              <w:tr2bl w:val="nil"/>
            </w:tcBorders>
            <w:shd w:val="clear" w:color="auto" w:fill="B8CCE4"/>
            <w:noWrap w:val="0"/>
            <w:vAlign w:val="center"/>
          </w:tcPr>
          <w:p w14:paraId="6A2693DB">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教学目标</w:t>
            </w:r>
          </w:p>
        </w:tc>
        <w:tc>
          <w:tcPr>
            <w:tcW w:w="2136" w:type="dxa"/>
            <w:tcBorders>
              <w:top w:val="single" w:color="auto" w:sz="4" w:space="0"/>
              <w:bottom w:val="single" w:color="auto" w:sz="4" w:space="0"/>
              <w:tl2br w:val="nil"/>
              <w:tr2bl w:val="nil"/>
            </w:tcBorders>
            <w:noWrap w:val="0"/>
            <w:vAlign w:val="center"/>
          </w:tcPr>
          <w:p w14:paraId="3778009D">
            <w:pPr>
              <w:spacing w:before="16"/>
              <w:ind w:right="-50"/>
              <w:jc w:val="center"/>
              <w:rPr>
                <w:rFonts w:ascii="微软雅黑" w:hAnsi="微软雅黑" w:eastAsia="微软雅黑" w:cs="微软雅黑"/>
                <w:b/>
                <w:bCs/>
                <w:color w:val="333333"/>
                <w:kern w:val="0"/>
                <w:szCs w:val="21"/>
                <w:lang w:bidi="he-IL"/>
              </w:rPr>
            </w:pPr>
            <w:r>
              <w:rPr>
                <w:rFonts w:hint="eastAsia" w:ascii="微软雅黑" w:hAnsi="微软雅黑" w:eastAsia="微软雅黑" w:cs="微软雅黑"/>
                <w:b/>
                <w:bCs/>
                <w:color w:val="333333"/>
                <w:kern w:val="0"/>
                <w:szCs w:val="21"/>
                <w:lang w:bidi="he-IL"/>
              </w:rPr>
              <w:t>知识目标</w:t>
            </w:r>
          </w:p>
        </w:tc>
        <w:tc>
          <w:tcPr>
            <w:tcW w:w="10637" w:type="dxa"/>
            <w:gridSpan w:val="5"/>
            <w:tcBorders>
              <w:top w:val="single" w:color="auto" w:sz="4" w:space="0"/>
              <w:bottom w:val="single" w:color="auto" w:sz="4" w:space="0"/>
              <w:tl2br w:val="nil"/>
              <w:tr2bl w:val="nil"/>
            </w:tcBorders>
            <w:noWrap w:val="0"/>
            <w:vAlign w:val="center"/>
          </w:tcPr>
          <w:p w14:paraId="3E799878">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1. 理解零售门店内部场景搭建的核心价值，掌握卖场规划的核心内容（布局类型、货位规划、通道设计、商品陈列）；</w:t>
            </w:r>
          </w:p>
          <w:p w14:paraId="3E87038D">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2. 熟悉商品陈列的原则、方法与要求，掌握磁石理论、购物决策树等陈列依据的应用逻辑；</w:t>
            </w:r>
          </w:p>
          <w:p w14:paraId="3F312B12">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3. 了解场景打造的核心维度（氛围营造、技术应用、互动体验、沉浸体验），掌握色彩设计、VR/AR 等场景搭建技术的应用场景；</w:t>
            </w:r>
          </w:p>
          <w:p w14:paraId="5B578017">
            <w:pPr>
              <w:numPr>
                <w:ilvl w:val="0"/>
                <w:numId w:val="0"/>
              </w:numPr>
              <w:spacing w:before="16"/>
              <w:ind w:right="-50" w:rightChars="0"/>
              <w:jc w:val="left"/>
              <w:rPr>
                <w:rFonts w:ascii="微软雅黑" w:hAnsi="微软雅黑" w:eastAsia="微软雅黑" w:cs="微软雅黑"/>
                <w:color w:val="333333"/>
                <w:kern w:val="0"/>
                <w:sz w:val="24"/>
                <w:lang w:bidi="he-IL"/>
              </w:rPr>
            </w:pPr>
            <w:r>
              <w:rPr>
                <w:rFonts w:hint="eastAsia" w:ascii="微软雅黑" w:hAnsi="微软雅黑" w:eastAsia="微软雅黑" w:cs="微软雅黑"/>
                <w:b w:val="0"/>
                <w:bCs w:val="0"/>
                <w:color w:val="333333"/>
                <w:kern w:val="0"/>
                <w:sz w:val="24"/>
                <w:szCs w:val="24"/>
                <w:lang w:val="en-US" w:eastAsia="zh-CN" w:bidi="he-IL"/>
              </w:rPr>
              <w:t>4. 熟悉互动式、沉浸式消费场景的打造策略，了解线上线下融合技术在场景搭建中的应用。</w:t>
            </w:r>
          </w:p>
        </w:tc>
      </w:tr>
      <w:tr w14:paraId="36419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237" w:type="dxa"/>
            <w:vMerge w:val="continue"/>
            <w:tcBorders>
              <w:top w:val="single" w:color="auto" w:sz="4" w:space="0"/>
              <w:bottom w:val="single" w:color="auto" w:sz="4" w:space="0"/>
              <w:tl2br w:val="nil"/>
              <w:tr2bl w:val="nil"/>
            </w:tcBorders>
            <w:shd w:val="clear" w:color="auto" w:fill="B8CCE4"/>
            <w:noWrap w:val="0"/>
            <w:vAlign w:val="center"/>
          </w:tcPr>
          <w:p w14:paraId="3ABD89D7">
            <w:pPr>
              <w:spacing w:before="16"/>
              <w:ind w:right="-50"/>
              <w:jc w:val="left"/>
              <w:rPr>
                <w:rFonts w:ascii="微软雅黑" w:hAnsi="微软雅黑" w:eastAsia="微软雅黑" w:cs="微软雅黑"/>
                <w:b/>
                <w:bCs/>
                <w:color w:val="333333"/>
                <w:kern w:val="0"/>
                <w:sz w:val="24"/>
                <w:lang w:bidi="he-IL"/>
              </w:rPr>
            </w:pPr>
          </w:p>
        </w:tc>
        <w:tc>
          <w:tcPr>
            <w:tcW w:w="2136" w:type="dxa"/>
            <w:tcBorders>
              <w:top w:val="single" w:color="auto" w:sz="4" w:space="0"/>
              <w:bottom w:val="single" w:color="auto" w:sz="4" w:space="0"/>
              <w:tl2br w:val="nil"/>
              <w:tr2bl w:val="nil"/>
            </w:tcBorders>
            <w:noWrap w:val="0"/>
            <w:vAlign w:val="center"/>
          </w:tcPr>
          <w:p w14:paraId="097F642B">
            <w:pPr>
              <w:spacing w:before="16"/>
              <w:ind w:right="-50"/>
              <w:jc w:val="center"/>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bCs/>
                <w:color w:val="333333"/>
                <w:kern w:val="0"/>
                <w:szCs w:val="21"/>
                <w:lang w:val="en-US" w:eastAsia="zh-CN" w:bidi="he-IL"/>
              </w:rPr>
              <w:t>能力目标</w:t>
            </w:r>
          </w:p>
        </w:tc>
        <w:tc>
          <w:tcPr>
            <w:tcW w:w="10637" w:type="dxa"/>
            <w:gridSpan w:val="5"/>
            <w:tcBorders>
              <w:top w:val="single" w:color="auto" w:sz="4" w:space="0"/>
              <w:bottom w:val="single" w:color="auto" w:sz="4" w:space="0"/>
              <w:tl2br w:val="nil"/>
              <w:tr2bl w:val="nil"/>
            </w:tcBorders>
            <w:noWrap w:val="0"/>
            <w:vAlign w:val="center"/>
          </w:tcPr>
          <w:p w14:paraId="561A272E">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1. 能根据零售业态（超市、水果店、奶茶店等）选择合适的卖场布局类型，运用磁石理论、购物决策树等工具进行货位规划与商品陈列设计；</w:t>
            </w:r>
          </w:p>
          <w:p w14:paraId="06EDD41E">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2. 能运用色彩设计原理营造门店氛围，具备基础的互动式体验场景设计能力；</w:t>
            </w:r>
          </w:p>
          <w:p w14:paraId="082BA170">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3. 能结合门店实际需求，选择适配的场景搭建技术（如智能货架、AR 试穿 / 试妆），设计初步的沉浸式购物体验方案；</w:t>
            </w:r>
          </w:p>
          <w:p w14:paraId="55DBFA0C">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4. 能整合卖场规划与场景打造知识，为零售门店设计完整的内部场景搭建方案，实现场景与 O2O 运营的联动。</w:t>
            </w:r>
          </w:p>
        </w:tc>
      </w:tr>
      <w:tr w14:paraId="29A2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op w:val="single" w:color="auto" w:sz="4" w:space="0"/>
              <w:bottom w:val="single" w:color="auto" w:sz="4" w:space="0"/>
              <w:tl2br w:val="nil"/>
              <w:tr2bl w:val="nil"/>
            </w:tcBorders>
            <w:shd w:val="clear" w:color="auto" w:fill="B8CCE4"/>
            <w:noWrap w:val="0"/>
            <w:vAlign w:val="center"/>
          </w:tcPr>
          <w:p w14:paraId="2CAB2365">
            <w:pPr>
              <w:spacing w:before="16"/>
              <w:ind w:right="-50"/>
              <w:jc w:val="left"/>
              <w:rPr>
                <w:rFonts w:ascii="微软雅黑" w:hAnsi="微软雅黑" w:eastAsia="微软雅黑" w:cs="微软雅黑"/>
                <w:b/>
                <w:bCs/>
                <w:color w:val="333333"/>
                <w:kern w:val="0"/>
                <w:sz w:val="24"/>
                <w:lang w:bidi="he-IL"/>
              </w:rPr>
            </w:pPr>
          </w:p>
        </w:tc>
        <w:tc>
          <w:tcPr>
            <w:tcW w:w="2136" w:type="dxa"/>
            <w:tcBorders>
              <w:top w:val="single" w:color="auto" w:sz="4" w:space="0"/>
              <w:bottom w:val="single" w:color="auto" w:sz="4" w:space="0"/>
              <w:tl2br w:val="nil"/>
              <w:tr2bl w:val="nil"/>
            </w:tcBorders>
            <w:noWrap w:val="0"/>
            <w:vAlign w:val="center"/>
          </w:tcPr>
          <w:p w14:paraId="7715E633">
            <w:pPr>
              <w:spacing w:before="16"/>
              <w:ind w:right="-50"/>
              <w:jc w:val="center"/>
              <w:rPr>
                <w:rFonts w:ascii="微软雅黑" w:hAnsi="微软雅黑" w:eastAsia="微软雅黑" w:cs="微软雅黑"/>
                <w:b/>
                <w:bCs/>
                <w:color w:val="333333"/>
                <w:kern w:val="0"/>
                <w:szCs w:val="21"/>
                <w:lang w:bidi="he-IL"/>
              </w:rPr>
            </w:pPr>
            <w:r>
              <w:rPr>
                <w:rFonts w:hint="eastAsia" w:ascii="微软雅黑" w:hAnsi="微软雅黑" w:eastAsia="微软雅黑" w:cs="微软雅黑"/>
                <w:b/>
                <w:bCs/>
                <w:color w:val="333333"/>
                <w:kern w:val="0"/>
                <w:szCs w:val="21"/>
                <w:lang w:val="en-US" w:eastAsia="zh-CN" w:bidi="he-IL"/>
              </w:rPr>
              <w:t>思政</w:t>
            </w:r>
            <w:r>
              <w:rPr>
                <w:rFonts w:hint="eastAsia" w:ascii="微软雅黑" w:hAnsi="微软雅黑" w:eastAsia="微软雅黑" w:cs="微软雅黑"/>
                <w:b/>
                <w:bCs/>
                <w:color w:val="333333"/>
                <w:kern w:val="0"/>
                <w:szCs w:val="21"/>
                <w:lang w:bidi="he-IL"/>
              </w:rPr>
              <w:t>目标</w:t>
            </w:r>
          </w:p>
        </w:tc>
        <w:tc>
          <w:tcPr>
            <w:tcW w:w="10637" w:type="dxa"/>
            <w:gridSpan w:val="5"/>
            <w:tcBorders>
              <w:top w:val="single" w:color="auto" w:sz="4" w:space="0"/>
              <w:bottom w:val="single" w:color="auto" w:sz="4" w:space="0"/>
              <w:tl2br w:val="nil"/>
              <w:tr2bl w:val="nil"/>
            </w:tcBorders>
            <w:noWrap w:val="0"/>
            <w:vAlign w:val="center"/>
          </w:tcPr>
          <w:p w14:paraId="425B6413">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1. 培育创新设计思维：通过场景创意设计与新技术应用，培养学生突破传统、勇于探索的创新意识与设计素养；</w:t>
            </w:r>
          </w:p>
          <w:p w14:paraId="720183F9">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2. 强化以人为本理念：理解场景搭建以消费者体验为核心的本质，培养关注用户需求、注重体验感的服务伦理；</w:t>
            </w:r>
          </w:p>
          <w:p w14:paraId="305CC797">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3. 树立技术赋能意识：认识 VR/AR、AI 等新技术对场景升级的推动作用，培养主动拥抱新技术、以技术赋能零售的行业认知；</w:t>
            </w:r>
          </w:p>
          <w:p w14:paraId="7DC67068">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4. 激发行业创新信心：了解国内零售企业场景搭建的成功案例，感受我国零售业在场景创新与技术应用方面的领先优势，增强产业自信与职业使命感。</w:t>
            </w:r>
          </w:p>
        </w:tc>
      </w:tr>
      <w:tr w14:paraId="72880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restart"/>
            <w:tcBorders>
              <w:top w:val="single" w:color="auto" w:sz="4" w:space="0"/>
              <w:tl2br w:val="nil"/>
              <w:tr2bl w:val="nil"/>
            </w:tcBorders>
            <w:shd w:val="clear" w:color="auto" w:fill="B8CCE4"/>
            <w:noWrap w:val="0"/>
            <w:vAlign w:val="center"/>
          </w:tcPr>
          <w:p w14:paraId="1837A496">
            <w:pPr>
              <w:spacing w:before="16"/>
              <w:ind w:right="-50"/>
              <w:jc w:val="left"/>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课程思政</w:t>
            </w:r>
          </w:p>
        </w:tc>
        <w:tc>
          <w:tcPr>
            <w:tcW w:w="2136" w:type="dxa"/>
            <w:tcBorders>
              <w:top w:val="single" w:color="auto" w:sz="4" w:space="0"/>
              <w:bottom w:val="single" w:color="auto" w:sz="4" w:space="0"/>
              <w:tl2br w:val="nil"/>
              <w:tr2bl w:val="nil"/>
            </w:tcBorders>
            <w:noWrap w:val="0"/>
            <w:vAlign w:val="center"/>
          </w:tcPr>
          <w:p w14:paraId="4FC8DAEA">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融入知识点</w:t>
            </w:r>
          </w:p>
        </w:tc>
        <w:tc>
          <w:tcPr>
            <w:tcW w:w="10637" w:type="dxa"/>
            <w:gridSpan w:val="5"/>
            <w:tcBorders>
              <w:top w:val="single" w:color="auto" w:sz="4" w:space="0"/>
              <w:bottom w:val="single" w:color="auto" w:sz="4" w:space="0"/>
              <w:tl2br w:val="nil"/>
              <w:tr2bl w:val="nil"/>
            </w:tcBorders>
            <w:noWrap w:val="0"/>
            <w:vAlign w:val="center"/>
          </w:tcPr>
          <w:p w14:paraId="087E131A">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1. 培育创新设计思维：商品陈列创新方法、互动式 / 沉浸式场景创意设计、元宇宙零售等未来场景趋势，培养学生突破传统布局思维的创新意识，理解创新是场景吸引消费者的核心竞争力；</w:t>
            </w:r>
          </w:p>
          <w:p w14:paraId="5B35A281">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2. 强化以人为本理念：卖场动线设计、商品陈列的便捷性原则、场景体验的五感融合，引导学生从消费者需求出发进行场景设计，树立以用户为中心的服务伦理；</w:t>
            </w:r>
          </w:p>
          <w:p w14:paraId="5BFDCD74">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3. 树立技术赋能意识：VR/AR 技术、智能货架、电子价签、无人结算等场景搭建技术的应用，让学生认识到技术对零售场景升级的核心作用，培养技术赋能零售的行业认知；</w:t>
            </w:r>
          </w:p>
          <w:p w14:paraId="163F49A8">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4. 激发行业创新信心：茑屋书店、优衣库、丝芙兰等国内企业场景搭建的成功案例，感受我国零售业在场景创新与技术应用方面的领先成果，增强产业自信与职业使命感；</w:t>
            </w:r>
          </w:p>
          <w:p w14:paraId="66E6D6DD">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5. 培养绿色环保素养：场景搭建中环保材料的选用、节能照明与智能调控的应用，引导学生形成绿色低碳的场景设计理念，践行可持续发展的行业责任。</w:t>
            </w:r>
          </w:p>
        </w:tc>
      </w:tr>
      <w:tr w14:paraId="0F868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l2br w:val="nil"/>
              <w:tr2bl w:val="nil"/>
            </w:tcBorders>
            <w:shd w:val="clear" w:color="auto" w:fill="B8CCE4"/>
            <w:noWrap w:val="0"/>
            <w:vAlign w:val="center"/>
          </w:tcPr>
          <w:p w14:paraId="461904A8">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67EC17C7">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融入方式</w:t>
            </w:r>
          </w:p>
        </w:tc>
        <w:tc>
          <w:tcPr>
            <w:tcW w:w="10637" w:type="dxa"/>
            <w:gridSpan w:val="5"/>
            <w:tcBorders>
              <w:top w:val="single" w:color="auto" w:sz="4" w:space="0"/>
              <w:bottom w:val="single" w:color="auto" w:sz="4" w:space="0"/>
              <w:tl2br w:val="nil"/>
              <w:tr2bl w:val="nil"/>
            </w:tcBorders>
            <w:noWrap w:val="0"/>
            <w:vAlign w:val="center"/>
          </w:tcPr>
          <w:p w14:paraId="479982F4">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案例分析、方案设计、小组研讨、实操模拟、成果展示、点评指导</w:t>
            </w:r>
          </w:p>
        </w:tc>
      </w:tr>
      <w:tr w14:paraId="483D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l2br w:val="nil"/>
              <w:tr2bl w:val="nil"/>
            </w:tcBorders>
            <w:shd w:val="clear" w:color="auto" w:fill="B8CCE4"/>
            <w:noWrap w:val="0"/>
            <w:vAlign w:val="center"/>
          </w:tcPr>
          <w:p w14:paraId="67FC8579">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28064CE7">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思政元素</w:t>
            </w:r>
          </w:p>
        </w:tc>
        <w:tc>
          <w:tcPr>
            <w:tcW w:w="10637" w:type="dxa"/>
            <w:gridSpan w:val="5"/>
            <w:tcBorders>
              <w:top w:val="single" w:color="auto" w:sz="4" w:space="0"/>
              <w:bottom w:val="single" w:color="auto" w:sz="4" w:space="0"/>
              <w:tl2br w:val="nil"/>
              <w:tr2bl w:val="nil"/>
            </w:tcBorders>
            <w:noWrap w:val="0"/>
            <w:vAlign w:val="center"/>
          </w:tcPr>
          <w:p w14:paraId="03271ABD">
            <w:pPr>
              <w:keepNext w:val="0"/>
              <w:keepLines w:val="0"/>
              <w:widowControl/>
              <w:numPr>
                <w:ilvl w:val="0"/>
                <w:numId w:val="0"/>
              </w:numPr>
              <w:suppressLineNumbers w:val="0"/>
              <w:spacing w:line="360" w:lineRule="auto"/>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创新设计、以人为本、技术赋能、产业自信、绿色环保、可持续发展、用户至上、精益求精</w:t>
            </w:r>
          </w:p>
        </w:tc>
      </w:tr>
      <w:tr w14:paraId="1F75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bottom w:val="single" w:color="auto" w:sz="4" w:space="0"/>
              <w:tl2br w:val="nil"/>
              <w:tr2bl w:val="nil"/>
            </w:tcBorders>
            <w:shd w:val="clear" w:color="auto" w:fill="B8CCE4"/>
            <w:noWrap w:val="0"/>
            <w:vAlign w:val="center"/>
          </w:tcPr>
          <w:p w14:paraId="6E3AA0C7">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0C2746C3">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思政资源</w:t>
            </w:r>
          </w:p>
        </w:tc>
        <w:tc>
          <w:tcPr>
            <w:tcW w:w="10637" w:type="dxa"/>
            <w:gridSpan w:val="5"/>
            <w:tcBorders>
              <w:top w:val="single" w:color="auto" w:sz="4" w:space="0"/>
              <w:bottom w:val="single" w:color="auto" w:sz="4" w:space="0"/>
              <w:tl2br w:val="nil"/>
              <w:tr2bl w:val="nil"/>
            </w:tcBorders>
            <w:noWrap w:val="0"/>
            <w:vAlign w:val="center"/>
          </w:tcPr>
          <w:p w14:paraId="0C8F4DA4">
            <w:pPr>
              <w:numPr>
                <w:ilvl w:val="0"/>
                <w:numId w:val="0"/>
              </w:numPr>
              <w:spacing w:before="16" w:line="240" w:lineRule="auto"/>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1. 实体产业资源：校办企业日照日知商业管理有限公司各门店内部布局现状、客群体验反馈；</w:t>
            </w:r>
          </w:p>
          <w:p w14:paraId="05A79EC8">
            <w:pPr>
              <w:numPr>
                <w:ilvl w:val="0"/>
                <w:numId w:val="0"/>
              </w:numPr>
              <w:spacing w:before="16" w:line="240" w:lineRule="auto"/>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2. 虚拟实训资源：零售门店 O2O 运营人机协同平台（中教畅享）、VR/AR 场景模拟实训系统；</w:t>
            </w:r>
          </w:p>
          <w:p w14:paraId="3A208694">
            <w:pPr>
              <w:numPr>
                <w:ilvl w:val="0"/>
                <w:numId w:val="0"/>
              </w:numPr>
              <w:spacing w:before="16" w:line="240" w:lineRule="auto"/>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3. 数字化资源：国内外优秀零售门店场景设计案例视频、VR/AR 场景搭建教程、微课、课件、绿色零售场景设计标准；</w:t>
            </w:r>
          </w:p>
          <w:p w14:paraId="0CE0F66C">
            <w:pPr>
              <w:numPr>
                <w:ilvl w:val="0"/>
                <w:numId w:val="0"/>
              </w:numPr>
              <w:spacing w:before="16" w:line="240" w:lineRule="auto"/>
              <w:ind w:right="-50" w:rightChars="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szCs w:val="24"/>
                <w:lang w:val="en-US" w:eastAsia="zh-CN" w:bidi="he-IL"/>
              </w:rPr>
              <w:t>4. 校园文化资源：“商道文化节” 零售场景设计大赛、企业导师场景设计经验分享，营造崇尚创新设计、以人为本的职业文化氛围。</w:t>
            </w:r>
          </w:p>
        </w:tc>
      </w:tr>
      <w:tr w14:paraId="54E5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restart"/>
            <w:tcBorders>
              <w:tl2br w:val="nil"/>
              <w:tr2bl w:val="nil"/>
            </w:tcBorders>
            <w:shd w:val="clear" w:color="auto" w:fill="B8CCE4"/>
            <w:noWrap w:val="0"/>
            <w:vAlign w:val="center"/>
          </w:tcPr>
          <w:p w14:paraId="0A25189E">
            <w:pPr>
              <w:spacing w:before="16"/>
              <w:ind w:right="-50"/>
              <w:jc w:val="left"/>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教学重点及难点</w:t>
            </w:r>
          </w:p>
        </w:tc>
        <w:tc>
          <w:tcPr>
            <w:tcW w:w="2136" w:type="dxa"/>
            <w:tcBorders>
              <w:top w:val="single" w:color="auto" w:sz="4" w:space="0"/>
              <w:bottom w:val="single" w:color="auto" w:sz="4" w:space="0"/>
              <w:tl2br w:val="nil"/>
              <w:tr2bl w:val="nil"/>
            </w:tcBorders>
            <w:shd w:val="clear" w:color="auto" w:fill="auto"/>
            <w:noWrap w:val="0"/>
            <w:vAlign w:val="center"/>
          </w:tcPr>
          <w:p w14:paraId="4B5A4CC3">
            <w:pPr>
              <w:spacing w:before="16"/>
              <w:ind w:right="-50"/>
              <w:jc w:val="center"/>
              <w:rPr>
                <w:rFonts w:hint="eastAsia"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重点</w:t>
            </w:r>
          </w:p>
        </w:tc>
        <w:tc>
          <w:tcPr>
            <w:tcW w:w="10637" w:type="dxa"/>
            <w:gridSpan w:val="5"/>
            <w:tcBorders>
              <w:top w:val="single" w:color="auto" w:sz="4" w:space="0"/>
              <w:bottom w:val="single" w:color="auto" w:sz="4" w:space="0"/>
              <w:tl2br w:val="nil"/>
              <w:tr2bl w:val="nil"/>
            </w:tcBorders>
            <w:shd w:val="clear" w:color="auto" w:fill="auto"/>
            <w:noWrap w:val="0"/>
            <w:vAlign w:val="center"/>
          </w:tcPr>
          <w:p w14:paraId="0E08D27F">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卖场规划的核心内容：布局类型选择、货位规划依据（磁石理论、购物决策树）、通道设计原则、商品陈列的原则与方法；</w:t>
            </w:r>
          </w:p>
        </w:tc>
      </w:tr>
      <w:tr w14:paraId="5565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bottom w:val="single" w:color="auto" w:sz="4" w:space="0"/>
              <w:tl2br w:val="nil"/>
              <w:tr2bl w:val="nil"/>
            </w:tcBorders>
            <w:shd w:val="clear" w:color="auto" w:fill="B8CCE4"/>
            <w:noWrap w:val="0"/>
            <w:vAlign w:val="center"/>
          </w:tcPr>
          <w:p w14:paraId="6483E9F7">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shd w:val="clear" w:color="auto" w:fill="auto"/>
            <w:noWrap w:val="0"/>
            <w:vAlign w:val="center"/>
          </w:tcPr>
          <w:p w14:paraId="4B4E7046">
            <w:pPr>
              <w:spacing w:before="16"/>
              <w:ind w:right="-50"/>
              <w:jc w:val="center"/>
              <w:rPr>
                <w:rFonts w:hint="eastAsia"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难点</w:t>
            </w:r>
          </w:p>
        </w:tc>
        <w:tc>
          <w:tcPr>
            <w:tcW w:w="10637" w:type="dxa"/>
            <w:gridSpan w:val="5"/>
            <w:tcBorders>
              <w:top w:val="single" w:color="auto" w:sz="4" w:space="0"/>
              <w:bottom w:val="single" w:color="auto" w:sz="4" w:space="0"/>
              <w:tl2br w:val="nil"/>
              <w:tr2bl w:val="nil"/>
            </w:tcBorders>
            <w:shd w:val="clear" w:color="auto" w:fill="auto"/>
            <w:noWrap w:val="0"/>
            <w:vAlign w:val="center"/>
          </w:tcPr>
          <w:p w14:paraId="3B4838B2">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实现场景搭建与 O2O 运营的联动，让内部场景既满足线下体验需求，又能支撑线上引流与转化。</w:t>
            </w:r>
          </w:p>
        </w:tc>
      </w:tr>
      <w:tr w14:paraId="039A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237" w:type="dxa"/>
            <w:tcBorders>
              <w:top w:val="single" w:color="auto" w:sz="4" w:space="0"/>
              <w:bottom w:val="single" w:color="auto" w:sz="4" w:space="0"/>
              <w:tl2br w:val="nil"/>
              <w:tr2bl w:val="nil"/>
            </w:tcBorders>
            <w:shd w:val="clear" w:color="auto" w:fill="B8CCE4"/>
            <w:noWrap w:val="0"/>
            <w:vAlign w:val="center"/>
          </w:tcPr>
          <w:p w14:paraId="47879EBC">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课堂任务</w:t>
            </w:r>
          </w:p>
        </w:tc>
        <w:tc>
          <w:tcPr>
            <w:tcW w:w="12773" w:type="dxa"/>
            <w:gridSpan w:val="6"/>
            <w:tcBorders>
              <w:top w:val="single" w:color="auto" w:sz="4" w:space="0"/>
              <w:bottom w:val="single" w:color="auto" w:sz="4" w:space="0"/>
              <w:tl2br w:val="nil"/>
              <w:tr2bl w:val="nil"/>
            </w:tcBorders>
            <w:noWrap w:val="0"/>
            <w:vAlign w:val="center"/>
          </w:tcPr>
          <w:p w14:paraId="28A9DDC6">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校办企业日照日知商业管理有限公司有超市、水果店、奶茶店等门店，核心客群为在校大学生与教师，现需对门店内部场景进行升级改造，提升线下体验感与 O2O 联动效率。要求结合零售门店内部场景搭建相关知识，完成以下任务：</w:t>
            </w:r>
          </w:p>
          <w:p w14:paraId="70FE2C10">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根据选定门店的业态与客群特点，确定卖场布局类型，运用磁石理论进行货位规划，设计核心通道与商品陈列方案；</w:t>
            </w:r>
          </w:p>
          <w:p w14:paraId="20C47C18">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设计门店氛围营造方案（色彩搭配、照明设计），打造 1-2 个互动式体验场景（可结合 VR/AR、智能设备等技术）；</w:t>
            </w:r>
          </w:p>
          <w:p w14:paraId="339B004C">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 规划场景与 O2O 运营的联动措施（如线上预约体验、线下场景扫码引流至线上社群等）；</w:t>
            </w:r>
          </w:p>
          <w:p w14:paraId="37249181">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4. 形成一份 700 字左右的门店内部场景搭建方案，要求布局合理、体验舒适、技术适配、可落地执行。</w:t>
            </w:r>
          </w:p>
          <w:p w14:paraId="5E4DA8AD">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设计目标有：</w:t>
            </w:r>
          </w:p>
          <w:p w14:paraId="58EEEA68">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（1）布局科学：货位规划与陈列符合客群购物习惯，通道顺畅，提升购物效率；</w:t>
            </w:r>
          </w:p>
          <w:p w14:paraId="6DDD127A">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（2）体验优质：氛围营造舒适，互动场景有吸引力，满足师生客群的体验需求；</w:t>
            </w:r>
          </w:p>
          <w:p w14:paraId="50DDA093">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（3）联动高效：场景设计能支撑 O2O 运营，实现线上线下流量互通、体验互补。</w:t>
            </w:r>
          </w:p>
        </w:tc>
      </w:tr>
      <w:tr w14:paraId="04C9D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1237" w:type="dxa"/>
            <w:vMerge w:val="restart"/>
            <w:shd w:val="clear" w:color="auto" w:fill="B8CCE4"/>
            <w:noWrap w:val="0"/>
            <w:vAlign w:val="center"/>
          </w:tcPr>
          <w:p w14:paraId="47B65FFA">
            <w:pPr>
              <w:spacing w:before="16"/>
              <w:ind w:right="-50"/>
              <w:jc w:val="center"/>
              <w:rPr>
                <w:rFonts w:hint="eastAsia" w:ascii="微软雅黑" w:hAnsi="微软雅黑" w:eastAsia="微软雅黑" w:cs="微软雅黑"/>
                <w:color w:val="333333"/>
                <w:kern w:val="0"/>
                <w:sz w:val="24"/>
                <w:lang w:eastAsia="zh-CN" w:bidi="he-IL"/>
              </w:rPr>
            </w:pPr>
            <w:r>
              <w:rPr>
                <w:rFonts w:hint="eastAsia" w:ascii="微软雅黑" w:hAnsi="微软雅黑" w:eastAsia="微软雅黑" w:cs="微软雅黑"/>
                <w:b/>
                <w:bCs/>
                <w:color w:val="333333"/>
                <w:kern w:val="0"/>
                <w:sz w:val="24"/>
                <w:lang w:eastAsia="zh-CN" w:bidi="he-IL"/>
              </w:rPr>
              <w:t>教学资源</w:t>
            </w:r>
          </w:p>
        </w:tc>
        <w:tc>
          <w:tcPr>
            <w:tcW w:w="2136" w:type="dxa"/>
            <w:noWrap w:val="0"/>
            <w:vAlign w:val="center"/>
          </w:tcPr>
          <w:p w14:paraId="66DB9EEA">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线下资源</w:t>
            </w:r>
          </w:p>
        </w:tc>
        <w:tc>
          <w:tcPr>
            <w:tcW w:w="10637" w:type="dxa"/>
            <w:gridSpan w:val="5"/>
            <w:noWrap w:val="0"/>
            <w:vAlign w:val="center"/>
          </w:tcPr>
          <w:p w14:paraId="31CEC700">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教材：《零售门店全渠道运营（AI + 微课版）》（书号：978-7-115-66469-3），俞洋洋 只井杰 黄静潇主编，人民邮电出版社，2025 年 5 月出版 十四五国家规划教材</w:t>
            </w:r>
          </w:p>
          <w:p w14:paraId="16461996">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企业资源：校办企业日照日知商业管理有限公司各门店内部布局图、客群购物习惯调研数据、门店现有设施清单；</w:t>
            </w:r>
          </w:p>
          <w:p w14:paraId="2ECEB13E">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 教辅资料：卖场规划模板、商品陈列手册、色彩搭配指南、VR/AR 场景设计案例集。</w:t>
            </w:r>
          </w:p>
          <w:p w14:paraId="4DD4ADA8">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线上资源</w:t>
            </w:r>
          </w:p>
        </w:tc>
      </w:tr>
      <w:tr w14:paraId="4A5E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1237" w:type="dxa"/>
            <w:vMerge w:val="continue"/>
            <w:shd w:val="clear" w:color="auto" w:fill="B8CCE4"/>
            <w:noWrap w:val="0"/>
            <w:vAlign w:val="top"/>
          </w:tcPr>
          <w:p w14:paraId="58739CF6">
            <w:pPr>
              <w:spacing w:before="16"/>
              <w:ind w:right="-50"/>
              <w:jc w:val="left"/>
              <w:rPr>
                <w:rFonts w:ascii="微软雅黑" w:hAnsi="微软雅黑" w:eastAsia="微软雅黑" w:cs="微软雅黑"/>
                <w:color w:val="333333"/>
                <w:kern w:val="0"/>
                <w:sz w:val="24"/>
                <w:lang w:bidi="he-IL"/>
              </w:rPr>
            </w:pPr>
          </w:p>
        </w:tc>
        <w:tc>
          <w:tcPr>
            <w:tcW w:w="2136" w:type="dxa"/>
            <w:noWrap w:val="0"/>
            <w:vAlign w:val="center"/>
          </w:tcPr>
          <w:p w14:paraId="1E014E17">
            <w:pPr>
              <w:spacing w:before="16"/>
              <w:ind w:right="-50"/>
              <w:jc w:val="center"/>
              <w:rPr>
                <w:rFonts w:hint="default" w:ascii="微软雅黑" w:hAnsi="微软雅黑" w:eastAsia="微软雅黑" w:cs="微软雅黑"/>
                <w:b/>
                <w:bCs/>
                <w:color w:val="333333"/>
                <w:kern w:val="0"/>
                <w:szCs w:val="21"/>
                <w:lang w:val="en-US" w:bidi="he-IL"/>
              </w:rPr>
            </w:pPr>
            <w:r>
              <w:rPr>
                <w:rFonts w:hint="eastAsia" w:ascii="微软雅黑" w:hAnsi="微软雅黑" w:eastAsia="微软雅黑" w:cs="微软雅黑"/>
                <w:b/>
                <w:bCs/>
                <w:color w:val="333333"/>
                <w:kern w:val="0"/>
                <w:szCs w:val="21"/>
                <w:lang w:val="en-US" w:eastAsia="zh-CN" w:bidi="he-IL"/>
              </w:rPr>
              <w:t>线上资源</w:t>
            </w:r>
          </w:p>
        </w:tc>
        <w:tc>
          <w:tcPr>
            <w:tcW w:w="10637" w:type="dxa"/>
            <w:gridSpan w:val="5"/>
            <w:noWrap w:val="0"/>
            <w:vAlign w:val="center"/>
          </w:tcPr>
          <w:p w14:paraId="5D38B8BC">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人人出彩教学平台（微课、课件、课前 / 课后测验、线上渠道运营案例视频）</w:t>
            </w:r>
          </w:p>
          <w:p w14:paraId="20B3951C">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仿真软件：电子商务人机协同通用能力平台、电商 / 短视频 / 社交平台运营模拟实训系统；</w:t>
            </w:r>
          </w:p>
          <w:p w14:paraId="20FC554A">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 数字化资源：茑屋书店 / 优衣库 / 丝芙兰场景设计解析、VR 试衣 / AR 试妆技术应用教程、智能货架与电子价签产品资料。</w:t>
            </w:r>
          </w:p>
        </w:tc>
      </w:tr>
      <w:tr w14:paraId="1D97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37" w:type="dxa"/>
            <w:shd w:val="clear" w:color="auto" w:fill="B8CCE4"/>
            <w:noWrap w:val="0"/>
            <w:vAlign w:val="center"/>
          </w:tcPr>
          <w:p w14:paraId="2A53BED4">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教学方法</w:t>
            </w:r>
          </w:p>
          <w:p w14:paraId="0F5B2C19">
            <w:pPr>
              <w:spacing w:before="16"/>
              <w:ind w:right="-50"/>
              <w:jc w:val="center"/>
              <w:rPr>
                <w:rFonts w:ascii="微软雅黑" w:hAnsi="微软雅黑" w:eastAsia="微软雅黑" w:cs="微软雅黑"/>
                <w:color w:val="333333"/>
                <w:kern w:val="0"/>
                <w:sz w:val="24"/>
                <w:lang w:bidi="he-IL"/>
              </w:rPr>
            </w:pPr>
          </w:p>
        </w:tc>
        <w:tc>
          <w:tcPr>
            <w:tcW w:w="12773" w:type="dxa"/>
            <w:gridSpan w:val="6"/>
            <w:noWrap w:val="0"/>
            <w:vAlign w:val="center"/>
          </w:tcPr>
          <w:p w14:paraId="783A601B">
            <w:pPr>
              <w:keepNext w:val="0"/>
              <w:keepLines w:val="0"/>
              <w:pageBreakBefore w:val="0"/>
              <w:widowControl w:val="0"/>
              <w:numPr>
                <w:ilvl w:val="0"/>
                <w:numId w:val="0"/>
              </w:numPr>
              <w:kinsoku/>
              <w:wordWrap/>
              <w:overflowPunct/>
              <w:topLinePunct w:val="0"/>
              <w:autoSpaceDE/>
              <w:autoSpaceDN/>
              <w:bidi w:val="0"/>
              <w:adjustRightInd/>
              <w:snapToGrid/>
              <w:spacing w:before="16"/>
              <w:ind w:right="-51" w:rightChars="0"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1. 案例驱动教学法：以 “真案例” 贯穿全程，实现 “学中悟、悟中创”</w:t>
            </w:r>
          </w:p>
          <w:p w14:paraId="686BA82B">
            <w:pPr>
              <w:keepNext w:val="0"/>
              <w:keepLines w:val="0"/>
              <w:pageBreakBefore w:val="0"/>
              <w:widowControl w:val="0"/>
              <w:numPr>
                <w:ilvl w:val="0"/>
                <w:numId w:val="0"/>
              </w:numPr>
              <w:kinsoku/>
              <w:wordWrap/>
              <w:overflowPunct/>
              <w:topLinePunct w:val="0"/>
              <w:autoSpaceDE/>
              <w:autoSpaceDN/>
              <w:bidi w:val="0"/>
              <w:adjustRightInd/>
              <w:snapToGrid/>
              <w:spacing w:before="16"/>
              <w:ind w:right="-51" w:rightChars="0" w:firstLine="480" w:firstLineChars="200"/>
              <w:jc w:val="left"/>
              <w:textAlignment w:val="auto"/>
              <w:rPr>
                <w:rFonts w:hint="eastAsia" w:ascii="微软雅黑" w:hAnsi="微软雅黑" w:eastAsia="微软雅黑" w:cs="微软雅黑"/>
                <w:b w:val="0"/>
                <w:bCs w:val="0"/>
                <w:color w:val="333333"/>
                <w:kern w:val="0"/>
                <w:sz w:val="24"/>
                <w:lang w:val="en-US" w:eastAsia="zh-CN" w:bidi="he-IL"/>
              </w:rPr>
            </w:pPr>
            <w:r>
              <w:rPr>
                <w:rFonts w:hint="eastAsia" w:ascii="微软雅黑" w:hAnsi="微软雅黑" w:eastAsia="微软雅黑" w:cs="微软雅黑"/>
                <w:b w:val="0"/>
                <w:bCs w:val="0"/>
                <w:color w:val="333333"/>
                <w:kern w:val="0"/>
                <w:sz w:val="24"/>
                <w:lang w:val="en-US" w:eastAsia="zh-CN" w:bidi="he-IL"/>
              </w:rPr>
              <w:t>本课以茑屋书店 “生活提案型” 空间、优衣库 VR 试衣间、丝芙兰 AR 魔镜等真实场景设计案例为载体，结合校办企业同类门店的布局现状，将抽象的卖场规划与场景设计知识与实际应用结合，通过案例分析、问题引导，让学生理解场景搭建的核心逻辑；在案例探究环节，通过环环相扣的问题引导学生思考，学生查阅资料、分析案例，实现知识向场景设计能力的转化。</w:t>
            </w:r>
          </w:p>
          <w:p w14:paraId="44EEC7EA">
            <w:pPr>
              <w:keepNext w:val="0"/>
              <w:keepLines w:val="0"/>
              <w:pageBreakBefore w:val="0"/>
              <w:widowControl w:val="0"/>
              <w:numPr>
                <w:ilvl w:val="0"/>
                <w:numId w:val="0"/>
              </w:numPr>
              <w:kinsoku/>
              <w:wordWrap/>
              <w:overflowPunct/>
              <w:topLinePunct w:val="0"/>
              <w:autoSpaceDE/>
              <w:autoSpaceDN/>
              <w:bidi w:val="0"/>
              <w:adjustRightInd/>
              <w:snapToGrid/>
              <w:spacing w:before="16"/>
              <w:ind w:right="-51" w:rightChars="0"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2. 小组协作探究法：以 “团队” 为单位，模拟职场场景规划项目</w:t>
            </w:r>
          </w:p>
          <w:p w14:paraId="16DA0B4D">
            <w:pPr>
              <w:keepNext w:val="0"/>
              <w:keepLines w:val="0"/>
              <w:pageBreakBefore w:val="0"/>
              <w:widowControl w:val="0"/>
              <w:numPr>
                <w:ilvl w:val="0"/>
                <w:numId w:val="0"/>
              </w:numPr>
              <w:kinsoku/>
              <w:wordWrap/>
              <w:overflowPunct/>
              <w:topLinePunct w:val="0"/>
              <w:autoSpaceDE/>
              <w:autoSpaceDN/>
              <w:bidi w:val="0"/>
              <w:adjustRightInd/>
              <w:snapToGrid/>
              <w:spacing w:before="16"/>
              <w:ind w:right="-51" w:rightChars="0" w:firstLine="480" w:firstLineChars="200"/>
              <w:jc w:val="left"/>
              <w:textAlignment w:val="auto"/>
              <w:rPr>
                <w:rFonts w:hint="eastAsia" w:ascii="微软雅黑" w:hAnsi="微软雅黑" w:eastAsia="微软雅黑" w:cs="微软雅黑"/>
                <w:b w:val="0"/>
                <w:bCs w:val="0"/>
                <w:color w:val="333333"/>
                <w:kern w:val="0"/>
                <w:sz w:val="24"/>
                <w:lang w:val="en-US" w:eastAsia="zh-CN" w:bidi="he-IL"/>
              </w:rPr>
            </w:pPr>
            <w:r>
              <w:rPr>
                <w:rFonts w:hint="eastAsia" w:ascii="微软雅黑" w:hAnsi="微软雅黑" w:eastAsia="微软雅黑" w:cs="微软雅黑"/>
                <w:b w:val="0"/>
                <w:bCs w:val="0"/>
                <w:color w:val="333333"/>
                <w:kern w:val="0"/>
                <w:sz w:val="24"/>
                <w:lang w:val="en-US" w:eastAsia="zh-CN" w:bidi="he-IL"/>
              </w:rPr>
              <w:t>任务单中有分组方式和角色分工（组长、布局设计、陈列规划、场景创意、技术适配、成果汇报）。结构化分工确保 “人人有责，人人参与”，避免 “搭便车”；通过提出挑战性问题，引导学生结合校办企业实际与场景知识自主探究；学生在撰写方案时，自主探究如何将理论知识与新技术应用转化为贴合企业实际的场景升级方案。</w:t>
            </w:r>
          </w:p>
          <w:p w14:paraId="679D7E22">
            <w:pPr>
              <w:keepNext w:val="0"/>
              <w:keepLines w:val="0"/>
              <w:pageBreakBefore w:val="0"/>
              <w:widowControl w:val="0"/>
              <w:numPr>
                <w:ilvl w:val="0"/>
                <w:numId w:val="0"/>
              </w:numPr>
              <w:kinsoku/>
              <w:wordWrap/>
              <w:overflowPunct/>
              <w:topLinePunct w:val="0"/>
              <w:autoSpaceDE/>
              <w:autoSpaceDN/>
              <w:bidi w:val="0"/>
              <w:adjustRightInd/>
              <w:snapToGrid/>
              <w:spacing w:before="16"/>
              <w:ind w:right="-51" w:rightChars="0"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3. 虚拟仿真教学法：以 “仿真” 深化认知，突破知识重难点</w:t>
            </w:r>
          </w:p>
          <w:p w14:paraId="0CE7BBAA">
            <w:pPr>
              <w:keepNext w:val="0"/>
              <w:keepLines w:val="0"/>
              <w:pageBreakBefore w:val="0"/>
              <w:widowControl w:val="0"/>
              <w:numPr>
                <w:ilvl w:val="0"/>
                <w:numId w:val="0"/>
              </w:numPr>
              <w:kinsoku/>
              <w:wordWrap/>
              <w:overflowPunct/>
              <w:topLinePunct w:val="0"/>
              <w:autoSpaceDE/>
              <w:autoSpaceDN/>
              <w:bidi w:val="0"/>
              <w:adjustRightInd/>
              <w:snapToGrid/>
              <w:spacing w:before="16"/>
              <w:ind w:right="-51" w:rightChars="0" w:firstLine="480" w:firstLineChars="200"/>
              <w:jc w:val="left"/>
              <w:textAlignment w:val="auto"/>
              <w:rPr>
                <w:rFonts w:hint="eastAsia" w:ascii="宋体" w:hAnsi="宋体" w:eastAsia="宋体" w:cs="宋体"/>
                <w:b w:val="0"/>
                <w:bCs w:val="0"/>
                <w:sz w:val="28"/>
                <w:szCs w:val="28"/>
                <w:lang w:val="en-US" w:eastAsia="zh-CN"/>
              </w:rPr>
            </w:pPr>
            <w:r>
              <w:rPr>
                <w:rFonts w:hint="eastAsia" w:ascii="微软雅黑" w:hAnsi="微软雅黑" w:eastAsia="微软雅黑" w:cs="微软雅黑"/>
                <w:b w:val="0"/>
                <w:bCs w:val="0"/>
                <w:color w:val="333333"/>
                <w:kern w:val="0"/>
                <w:sz w:val="24"/>
                <w:lang w:val="en-US" w:eastAsia="zh-CN" w:bidi="he-IL"/>
              </w:rPr>
              <w:t>通过 VR/AR 场景模拟实训系统、卖场布局设计仿真软件，让学生沉浸式体验卖场布局、商品陈列的实际效果，直观感受色彩搭配与互动技术的应用场景；通过虚拟实操，让学生快速突破磁石理论应用、新技术与场景融合的知识难点，构建清晰的场景设计思维。</w:t>
            </w:r>
          </w:p>
        </w:tc>
      </w:tr>
      <w:tr w14:paraId="6A1A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37" w:type="dxa"/>
            <w:tcBorders>
              <w:bottom w:val="single" w:color="auto" w:sz="4" w:space="0"/>
            </w:tcBorders>
            <w:shd w:val="clear" w:color="auto" w:fill="B8CCE4"/>
            <w:noWrap w:val="0"/>
            <w:vAlign w:val="center"/>
          </w:tcPr>
          <w:p w14:paraId="1535F71D">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考核评价</w:t>
            </w:r>
          </w:p>
        </w:tc>
        <w:tc>
          <w:tcPr>
            <w:tcW w:w="12773" w:type="dxa"/>
            <w:gridSpan w:val="6"/>
            <w:tcBorders>
              <w:bottom w:val="single" w:color="auto" w:sz="4" w:space="0"/>
            </w:tcBorders>
            <w:noWrap w:val="0"/>
            <w:vAlign w:val="center"/>
          </w:tcPr>
          <w:p w14:paraId="6D30D02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color w:val="333333"/>
                <w:kern w:val="0"/>
                <w:sz w:val="24"/>
                <w:lang w:bidi="he-IL"/>
              </w:rPr>
            </w:pPr>
            <w:r>
              <w:rPr>
                <w:rFonts w:hint="eastAsia" w:ascii="宋体" w:hAnsi="宋体" w:eastAsia="宋体" w:cs="宋体"/>
                <w:sz w:val="28"/>
                <w:szCs w:val="28"/>
                <w:lang w:val="en-US" w:eastAsia="zh-CN"/>
              </w:rPr>
              <w:t>本课程采用 “过程性为主、终结性为辅、增值性为补” 的多元考核：过程性占 60%，含考勤、作业、学习表现（预习 / 场景调研）、校办企业真实项目实操、人机协同平台实操、思政表现（创新设计、以人为本、绿色环保理念体现），由双师评分；终结性考核占 30%，主要是理论思政测试（涵盖卖场规划、场景打造、技术应用核心知识及创新设计、以人为本、技术赋能等思政元素）；增值性考核占 10%，依据零售场景设计大赛成果、VR/AR 场景模拟实训优秀成果、绿色场景设计方案等。</w:t>
            </w:r>
          </w:p>
        </w:tc>
      </w:tr>
    </w:tbl>
    <w:p w14:paraId="48E39F5C">
      <w:pPr>
        <w:jc w:val="center"/>
        <w:rPr>
          <w:rFonts w:hint="default" w:ascii="黑体" w:hAnsi="黑体" w:eastAsia="黑体"/>
          <w:sz w:val="36"/>
          <w:szCs w:val="36"/>
          <w:lang w:val="en-US" w:eastAsia="zh-CN"/>
        </w:rPr>
      </w:pPr>
      <w:r>
        <w:rPr>
          <w:rFonts w:hint="eastAsia" w:ascii="黑体" w:hAnsi="黑体" w:eastAsia="黑体"/>
          <w:sz w:val="36"/>
          <w:szCs w:val="36"/>
          <w:lang w:val="en-US" w:eastAsia="zh-CN"/>
        </w:rPr>
        <w:t>以下为教学实施过程的具体内容</w:t>
      </w:r>
    </w:p>
    <w:tbl>
      <w:tblPr>
        <w:tblStyle w:val="2"/>
        <w:tblW w:w="14004" w:type="dxa"/>
        <w:jc w:val="center"/>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Layout w:type="fixed"/>
        <w:tblCellMar>
          <w:top w:w="0" w:type="dxa"/>
          <w:left w:w="108" w:type="dxa"/>
          <w:bottom w:w="0" w:type="dxa"/>
          <w:right w:w="108" w:type="dxa"/>
        </w:tblCellMar>
      </w:tblPr>
      <w:tblGrid>
        <w:gridCol w:w="1203"/>
        <w:gridCol w:w="2942"/>
        <w:gridCol w:w="3817"/>
        <w:gridCol w:w="2892"/>
        <w:gridCol w:w="3150"/>
      </w:tblGrid>
      <w:tr w14:paraId="27D18AC9">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557" w:hRule="atLeast"/>
          <w:jc w:val="center"/>
        </w:trPr>
        <w:tc>
          <w:tcPr>
            <w:tcW w:w="14004" w:type="dxa"/>
            <w:gridSpan w:val="5"/>
            <w:shd w:val="clear" w:color="auto" w:fill="C7DAF1"/>
            <w:noWrap w:val="0"/>
            <w:vAlign w:val="center"/>
          </w:tcPr>
          <w:p w14:paraId="1E1E2DDA">
            <w:pPr>
              <w:adjustRightInd w:val="0"/>
              <w:snapToGrid w:val="0"/>
              <w:spacing w:line="360" w:lineRule="exact"/>
              <w:jc w:val="center"/>
              <w:rPr>
                <w:rFonts w:hint="eastAsia" w:ascii="微软雅黑" w:hAnsi="微软雅黑" w:eastAsia="微软雅黑"/>
                <w:b/>
                <w:color w:val="FFFFFF"/>
                <w:sz w:val="21"/>
                <w:szCs w:val="21"/>
                <w:lang w:eastAsia="zh-CN"/>
              </w:rPr>
            </w:pPr>
            <w:r>
              <w:rPr>
                <w:rFonts w:hint="eastAsia" w:ascii="微软雅黑" w:hAnsi="微软雅黑" w:eastAsia="微软雅黑"/>
                <w:b/>
                <w:color w:val="auto"/>
                <w:sz w:val="21"/>
                <w:szCs w:val="21"/>
                <w:lang w:val="en-US" w:eastAsia="zh-CN"/>
              </w:rPr>
              <w:t>课前</w:t>
            </w:r>
          </w:p>
        </w:tc>
      </w:tr>
      <w:tr w14:paraId="071687B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427" w:hRule="atLeast"/>
          <w:jc w:val="center"/>
        </w:trPr>
        <w:tc>
          <w:tcPr>
            <w:tcW w:w="1203" w:type="dxa"/>
            <w:vMerge w:val="restart"/>
            <w:shd w:val="clear" w:color="auto" w:fill="C7DAF1"/>
            <w:noWrap w:val="0"/>
            <w:vAlign w:val="center"/>
          </w:tcPr>
          <w:p w14:paraId="699DAFBF">
            <w:pPr>
              <w:spacing w:line="360" w:lineRule="exact"/>
              <w:jc w:val="center"/>
              <w:rPr>
                <w:rFonts w:hint="eastAsia" w:ascii="微软雅黑" w:hAnsi="微软雅黑" w:eastAsia="微软雅黑"/>
                <w:color w:val="auto"/>
                <w:kern w:val="0"/>
                <w:sz w:val="21"/>
                <w:szCs w:val="21"/>
                <w:lang w:eastAsia="zh-CN"/>
              </w:rPr>
            </w:pPr>
            <w:r>
              <w:rPr>
                <w:rFonts w:hint="eastAsia" w:ascii="微软雅黑" w:hAnsi="微软雅黑" w:eastAsia="微软雅黑"/>
                <w:color w:val="auto"/>
                <w:sz w:val="21"/>
                <w:szCs w:val="21"/>
                <w:lang w:val="en-US" w:eastAsia="zh-CN"/>
              </w:rPr>
              <w:t>教学环节</w:t>
            </w:r>
          </w:p>
        </w:tc>
        <w:tc>
          <w:tcPr>
            <w:tcW w:w="2942" w:type="dxa"/>
            <w:vMerge w:val="restart"/>
            <w:noWrap w:val="0"/>
            <w:vAlign w:val="center"/>
          </w:tcPr>
          <w:p w14:paraId="73AF0B36">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教学内容</w:t>
            </w:r>
          </w:p>
        </w:tc>
        <w:tc>
          <w:tcPr>
            <w:tcW w:w="6709" w:type="dxa"/>
            <w:gridSpan w:val="2"/>
            <w:noWrap w:val="0"/>
            <w:vAlign w:val="center"/>
          </w:tcPr>
          <w:p w14:paraId="0DD3A66D">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教学活动</w:t>
            </w:r>
          </w:p>
        </w:tc>
        <w:tc>
          <w:tcPr>
            <w:tcW w:w="3150" w:type="dxa"/>
            <w:vMerge w:val="restart"/>
            <w:noWrap w:val="0"/>
            <w:vAlign w:val="center"/>
          </w:tcPr>
          <w:p w14:paraId="3414E773">
            <w:pPr>
              <w:spacing w:line="360" w:lineRule="exact"/>
              <w:jc w:val="center"/>
              <w:rPr>
                <w:rFonts w:hint="eastAsia" w:ascii="微软雅黑" w:hAnsi="微软雅黑" w:eastAsia="微软雅黑"/>
                <w:kern w:val="0"/>
                <w:sz w:val="21"/>
                <w:szCs w:val="21"/>
                <w:lang w:eastAsia="zh-CN"/>
              </w:rPr>
            </w:pPr>
            <w:r>
              <w:rPr>
                <w:rFonts w:hint="eastAsia" w:ascii="微软雅黑" w:hAnsi="微软雅黑" w:eastAsia="微软雅黑"/>
                <w:kern w:val="0"/>
                <w:sz w:val="21"/>
                <w:szCs w:val="21"/>
              </w:rPr>
              <w:t>设计意图/</w:t>
            </w:r>
            <w:r>
              <w:rPr>
                <w:rFonts w:hint="eastAsia" w:ascii="微软雅黑" w:hAnsi="微软雅黑" w:eastAsia="微软雅黑"/>
                <w:kern w:val="0"/>
                <w:sz w:val="21"/>
                <w:szCs w:val="21"/>
                <w:lang w:eastAsia="zh-CN"/>
              </w:rPr>
              <w:t>思政融入</w:t>
            </w:r>
          </w:p>
        </w:tc>
      </w:tr>
      <w:tr w14:paraId="35AD9C9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90" w:hRule="atLeast"/>
          <w:jc w:val="center"/>
        </w:trPr>
        <w:tc>
          <w:tcPr>
            <w:tcW w:w="1203" w:type="dxa"/>
            <w:vMerge w:val="continue"/>
            <w:shd w:val="clear" w:color="auto" w:fill="C7DAF1"/>
            <w:noWrap w:val="0"/>
            <w:vAlign w:val="center"/>
          </w:tcPr>
          <w:p w14:paraId="4BBC8DF9">
            <w:pPr>
              <w:spacing w:line="360" w:lineRule="exact"/>
              <w:jc w:val="center"/>
              <w:rPr>
                <w:rFonts w:ascii="微软雅黑" w:hAnsi="微软雅黑" w:eastAsia="微软雅黑"/>
                <w:color w:val="auto"/>
                <w:kern w:val="0"/>
                <w:sz w:val="21"/>
                <w:szCs w:val="21"/>
              </w:rPr>
            </w:pPr>
          </w:p>
        </w:tc>
        <w:tc>
          <w:tcPr>
            <w:tcW w:w="2942" w:type="dxa"/>
            <w:vMerge w:val="continue"/>
            <w:noWrap w:val="0"/>
            <w:vAlign w:val="center"/>
          </w:tcPr>
          <w:p w14:paraId="7F060EB7">
            <w:pPr>
              <w:spacing w:line="360" w:lineRule="exact"/>
              <w:jc w:val="left"/>
              <w:rPr>
                <w:rFonts w:ascii="微软雅黑" w:hAnsi="微软雅黑" w:eastAsia="微软雅黑"/>
                <w:kern w:val="0"/>
                <w:sz w:val="21"/>
                <w:szCs w:val="21"/>
              </w:rPr>
            </w:pPr>
          </w:p>
        </w:tc>
        <w:tc>
          <w:tcPr>
            <w:tcW w:w="3817" w:type="dxa"/>
            <w:noWrap w:val="0"/>
            <w:vAlign w:val="center"/>
          </w:tcPr>
          <w:p w14:paraId="55513AC4">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教师活动</w:t>
            </w:r>
          </w:p>
        </w:tc>
        <w:tc>
          <w:tcPr>
            <w:tcW w:w="2892" w:type="dxa"/>
            <w:noWrap w:val="0"/>
            <w:vAlign w:val="center"/>
          </w:tcPr>
          <w:p w14:paraId="33553410">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学生活动</w:t>
            </w:r>
          </w:p>
        </w:tc>
        <w:tc>
          <w:tcPr>
            <w:tcW w:w="3150" w:type="dxa"/>
            <w:vMerge w:val="continue"/>
            <w:noWrap w:val="0"/>
            <w:vAlign w:val="center"/>
          </w:tcPr>
          <w:p w14:paraId="79DE38AF">
            <w:pPr>
              <w:spacing w:line="360" w:lineRule="exact"/>
              <w:jc w:val="left"/>
              <w:rPr>
                <w:rFonts w:ascii="微软雅黑" w:hAnsi="微软雅黑" w:eastAsia="微软雅黑"/>
                <w:kern w:val="0"/>
                <w:sz w:val="21"/>
                <w:szCs w:val="21"/>
              </w:rPr>
            </w:pPr>
          </w:p>
        </w:tc>
      </w:tr>
      <w:tr w14:paraId="6735C60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2145" w:hRule="atLeast"/>
          <w:jc w:val="center"/>
        </w:trPr>
        <w:tc>
          <w:tcPr>
            <w:tcW w:w="1203" w:type="dxa"/>
            <w:shd w:val="clear" w:color="auto" w:fill="C7DAF1"/>
            <w:noWrap w:val="0"/>
            <w:vAlign w:val="center"/>
          </w:tcPr>
          <w:p w14:paraId="1532BB0B">
            <w:pPr>
              <w:adjustRightInd w:val="0"/>
              <w:snapToGrid w:val="0"/>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聚焦任务问题</w:t>
            </w:r>
          </w:p>
          <w:p w14:paraId="3528B2E1">
            <w:pPr>
              <w:spacing w:line="360" w:lineRule="exact"/>
              <w:jc w:val="center"/>
              <w:rPr>
                <w:rFonts w:ascii="微软雅黑" w:hAnsi="微软雅黑" w:eastAsia="微软雅黑"/>
                <w:color w:val="auto"/>
                <w:kern w:val="0"/>
                <w:sz w:val="21"/>
                <w:szCs w:val="21"/>
              </w:rPr>
            </w:pPr>
          </w:p>
        </w:tc>
        <w:tc>
          <w:tcPr>
            <w:tcW w:w="2942" w:type="dxa"/>
            <w:noWrap w:val="0"/>
            <w:vAlign w:val="top"/>
          </w:tcPr>
          <w:p w14:paraId="124B069E">
            <w:pPr>
              <w:spacing w:line="360" w:lineRule="exact"/>
              <w:rPr>
                <w:rFonts w:hint="eastAsia" w:ascii="微软雅黑" w:hAnsi="微软雅黑" w:eastAsia="微软雅黑"/>
                <w:b/>
                <w:bCs/>
                <w:sz w:val="21"/>
                <w:szCs w:val="21"/>
                <w:lang w:val="en-US" w:eastAsia="zh-CN"/>
              </w:rPr>
            </w:pPr>
            <w:r>
              <w:rPr>
                <w:rFonts w:hint="eastAsia" w:ascii="微软雅黑" w:hAnsi="微软雅黑" w:eastAsia="微软雅黑"/>
                <w:b/>
                <w:bCs/>
                <w:sz w:val="21"/>
                <w:szCs w:val="21"/>
                <w:lang w:val="en-US" w:eastAsia="zh-CN"/>
              </w:rPr>
              <w:t>聚焦任务问题</w:t>
            </w:r>
          </w:p>
          <w:p w14:paraId="78619D8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在人人出彩教学平台上观看卖场规划、商品陈列、场景打造相关的微课视频</w:t>
            </w:r>
          </w:p>
          <w:p w14:paraId="5DBC26B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掌握卖场布局类型、磁石理论、商品陈列原则等基础概念，熟悉 VR/AR 场景搭建技术的基本应用；</w:t>
            </w:r>
          </w:p>
          <w:p w14:paraId="1A686CA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1"/>
                <w:szCs w:val="21"/>
              </w:rPr>
            </w:pPr>
            <w:r>
              <w:rPr>
                <w:rFonts w:hint="eastAsia" w:ascii="微软雅黑" w:hAnsi="微软雅黑" w:eastAsia="微软雅黑"/>
                <w:sz w:val="21"/>
                <w:szCs w:val="21"/>
                <w:lang w:val="en-US" w:eastAsia="zh-CN"/>
              </w:rPr>
              <w:t>3. 对校办企业选定门店进行实地调研，收集门店内部布局图、客群购物动线、现有设施、消费者体验反馈等信息。</w:t>
            </w:r>
          </w:p>
        </w:tc>
        <w:tc>
          <w:tcPr>
            <w:tcW w:w="3817" w:type="dxa"/>
            <w:noWrap w:val="0"/>
            <w:vAlign w:val="top"/>
          </w:tcPr>
          <w:p w14:paraId="43EC9C47">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6620EE5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【发布任务】</w:t>
            </w:r>
            <w:r>
              <w:rPr>
                <w:rFonts w:hint="eastAsia" w:ascii="仿宋" w:hAnsi="仿宋" w:eastAsia="仿宋" w:cs="仿宋"/>
                <w:color w:val="000000"/>
                <w:kern w:val="0"/>
                <w:sz w:val="21"/>
                <w:szCs w:val="21"/>
                <w:lang w:val="en-US" w:eastAsia="zh-CN" w:bidi="ar"/>
              </w:rPr>
              <w:t>在学习平台推送课前任务单、微课视频和学习课件、做好课前测验</w:t>
            </w:r>
          </w:p>
          <w:p w14:paraId="0AB575F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【发布学习工具】</w:t>
            </w:r>
            <w:r>
              <w:rPr>
                <w:rFonts w:hint="eastAsia" w:ascii="仿宋" w:hAnsi="仿宋" w:eastAsia="仿宋" w:cs="仿宋"/>
                <w:color w:val="000000"/>
                <w:kern w:val="0"/>
                <w:sz w:val="21"/>
                <w:szCs w:val="21"/>
                <w:lang w:val="en-US" w:eastAsia="zh-CN" w:bidi="ar"/>
              </w:rPr>
              <w:t>在平台上发布门店调研清单、卖场规划模板、场景分析表</w:t>
            </w:r>
          </w:p>
          <w:p w14:paraId="17C0785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【调研指导】</w:t>
            </w:r>
            <w:r>
              <w:rPr>
                <w:rFonts w:hint="eastAsia" w:ascii="仿宋" w:hAnsi="仿宋" w:eastAsia="仿宋" w:cs="仿宋"/>
                <w:color w:val="000000"/>
                <w:kern w:val="0"/>
                <w:sz w:val="21"/>
                <w:szCs w:val="21"/>
                <w:lang w:val="en-US" w:eastAsia="zh-CN" w:bidi="ar"/>
              </w:rPr>
              <w:t>发布资料收集清单并指导调研方向，收集学生调研数据与初步分析结果，解答调研疑问。</w:t>
            </w:r>
          </w:p>
        </w:tc>
        <w:tc>
          <w:tcPr>
            <w:tcW w:w="2892" w:type="dxa"/>
            <w:noWrap w:val="0"/>
            <w:vAlign w:val="top"/>
          </w:tcPr>
          <w:p w14:paraId="08056A1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【接收任务】</w:t>
            </w:r>
          </w:p>
          <w:p w14:paraId="0D59782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登陆教学平台接收任务单并进行小组人员分工</w:t>
            </w:r>
          </w:p>
          <w:p w14:paraId="7F7F941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分析任务要求，明确本节课学习重点、难点</w:t>
            </w:r>
          </w:p>
          <w:p w14:paraId="0688E14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 提前查看课件和微视频，熟悉线上渠道相关理论知识</w:t>
            </w:r>
          </w:p>
          <w:p w14:paraId="7A368A07">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【工具学习】</w:t>
            </w:r>
          </w:p>
          <w:p w14:paraId="5851EB4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参照教师发放的资料，掌握卖场规划、场景分析的基本方法，为任务完成打下基础</w:t>
            </w:r>
          </w:p>
          <w:p w14:paraId="4D544CB2">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【收集资料】</w:t>
            </w:r>
          </w:p>
          <w:p w14:paraId="088C163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完成资料收集清单要求的相关数据，分析校办企业门店现有场景的优势与不足，形成初步的场景升级思路。</w:t>
            </w:r>
          </w:p>
        </w:tc>
        <w:tc>
          <w:tcPr>
            <w:tcW w:w="3150" w:type="dxa"/>
            <w:noWrap w:val="0"/>
            <w:vAlign w:val="top"/>
          </w:tcPr>
          <w:p w14:paraId="7815471C">
            <w:pPr>
              <w:keepNext w:val="0"/>
              <w:keepLines w:val="0"/>
              <w:widowControl/>
              <w:numPr>
                <w:ilvl w:val="0"/>
                <w:numId w:val="0"/>
              </w:numPr>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p>
          <w:p w14:paraId="3B797382">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通过发布任务、安排学习内容，培育学生线上自主学习能力和市场调研能力，让学生带着问题进入课堂，提升课堂教学效率。</w:t>
            </w:r>
          </w:p>
          <w:p w14:paraId="6C314463">
            <w:pPr>
              <w:keepNext w:val="0"/>
              <w:keepLines w:val="0"/>
              <w:widowControl/>
              <w:numPr>
                <w:ilvl w:val="0"/>
                <w:numId w:val="0"/>
              </w:numPr>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4F9EF350">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实践意识：通过调研企业实际与校园客群、周边案例，培养学生立足实际、解决实际问题的职业实践意识；</w:t>
            </w:r>
          </w:p>
          <w:p w14:paraId="549036C9">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团队协作：小组分工完成调研与资料收集，培养学生的团队合作意识与信息筛选、分析能力；</w:t>
            </w:r>
          </w:p>
          <w:p w14:paraId="55C4CBCA">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用户思维：通过收集消费者体验反馈，培养学生关注用户需求、以用户为中心的设计认知</w:t>
            </w:r>
          </w:p>
        </w:tc>
      </w:tr>
      <w:tr w14:paraId="170DAB40">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center"/>
          </w:tcPr>
          <w:p w14:paraId="67C35AA5">
            <w:pPr>
              <w:adjustRightInd w:val="0"/>
              <w:snapToGrid w:val="0"/>
              <w:spacing w:line="360" w:lineRule="exact"/>
              <w:jc w:val="center"/>
              <w:rPr>
                <w:rFonts w:hint="eastAsia" w:ascii="仿宋" w:hAnsi="仿宋" w:eastAsia="仿宋" w:cs="仿宋"/>
                <w:color w:val="000000"/>
                <w:kern w:val="0"/>
                <w:sz w:val="21"/>
                <w:szCs w:val="21"/>
                <w:lang w:val="en-US" w:eastAsia="zh-CN" w:bidi="ar"/>
              </w:rPr>
            </w:pPr>
            <w:r>
              <w:rPr>
                <w:rFonts w:hint="eastAsia" w:ascii="仿宋" w:hAnsi="仿宋" w:eastAsia="仿宋" w:cs="仿宋"/>
                <w:b/>
                <w:color w:val="auto"/>
                <w:sz w:val="21"/>
                <w:szCs w:val="21"/>
                <w:lang w:val="en-US" w:eastAsia="zh-CN"/>
              </w:rPr>
              <w:t>课中</w:t>
            </w:r>
          </w:p>
        </w:tc>
      </w:tr>
      <w:tr w14:paraId="63177C9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1075" w:hRule="atLeast"/>
          <w:jc w:val="center"/>
        </w:trPr>
        <w:tc>
          <w:tcPr>
            <w:tcW w:w="1203" w:type="dxa"/>
            <w:shd w:val="clear" w:color="auto" w:fill="C7DAF1"/>
            <w:noWrap w:val="0"/>
            <w:vAlign w:val="center"/>
          </w:tcPr>
          <w:p w14:paraId="1DCB1B91">
            <w:pPr>
              <w:adjustRightInd w:val="0"/>
              <w:snapToGrid w:val="0"/>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查漏补缺</w:t>
            </w:r>
          </w:p>
          <w:p w14:paraId="72F74AF2">
            <w:pPr>
              <w:spacing w:line="360" w:lineRule="exact"/>
              <w:jc w:val="center"/>
              <w:rPr>
                <w:rFonts w:ascii="微软雅黑" w:hAnsi="微软雅黑" w:eastAsia="微软雅黑"/>
                <w:color w:val="auto"/>
                <w:kern w:val="0"/>
                <w:sz w:val="21"/>
                <w:szCs w:val="21"/>
              </w:rPr>
            </w:pPr>
            <w:r>
              <w:rPr>
                <w:rFonts w:hint="eastAsia" w:ascii="微软雅黑" w:hAnsi="微软雅黑" w:eastAsia="微软雅黑"/>
                <w:b/>
                <w:bCs/>
                <w:color w:val="auto"/>
                <w:kern w:val="0"/>
                <w:sz w:val="21"/>
                <w:szCs w:val="21"/>
              </w:rPr>
              <w:t>5分钟</w:t>
            </w:r>
          </w:p>
        </w:tc>
        <w:tc>
          <w:tcPr>
            <w:tcW w:w="2942" w:type="dxa"/>
            <w:noWrap w:val="0"/>
            <w:vAlign w:val="top"/>
          </w:tcPr>
          <w:p w14:paraId="3DA4D8E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回顾课前学习内容（卖场规划核心概念、商品陈列原则、VR/AR 技术基础）</w:t>
            </w:r>
          </w:p>
          <w:p w14:paraId="692D8CF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 找出学生学习难点（如磁石理论的实际应用、色彩搭配与业态的适配、新技术与场景的融合）</w:t>
            </w:r>
          </w:p>
        </w:tc>
        <w:tc>
          <w:tcPr>
            <w:tcW w:w="3817" w:type="dxa"/>
            <w:noWrap w:val="0"/>
            <w:vAlign w:val="top"/>
          </w:tcPr>
          <w:p w14:paraId="71226B7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温故知新</w:t>
            </w:r>
            <w:r>
              <w:rPr>
                <w:rFonts w:hint="eastAsia" w:ascii="仿宋" w:hAnsi="仿宋" w:eastAsia="仿宋" w:cs="仿宋"/>
                <w:color w:val="000000"/>
                <w:kern w:val="0"/>
                <w:sz w:val="21"/>
                <w:szCs w:val="21"/>
                <w:lang w:val="en-US" w:eastAsia="zh-CN" w:bidi="ar"/>
              </w:rPr>
              <w:t>】</w:t>
            </w:r>
          </w:p>
          <w:p w14:paraId="43F5BF13">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复习巩固已学知识（O2O 运营生态系统、线上渠道布局），衔接场景搭建与 O2O 联动知识；</w:t>
            </w:r>
          </w:p>
          <w:p w14:paraId="0A390B65">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【提问检测】</w:t>
            </w:r>
          </w:p>
          <w:p w14:paraId="44765655">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通过提问检测学生课前学习效果，针对课前测验的易错点（如磁石点商品配置、陈列原则的优先级）进行简要讲解，了解知识欠缺处。</w:t>
            </w:r>
          </w:p>
        </w:tc>
        <w:tc>
          <w:tcPr>
            <w:tcW w:w="2892" w:type="dxa"/>
            <w:noWrap w:val="0"/>
            <w:vAlign w:val="top"/>
          </w:tcPr>
          <w:p w14:paraId="783237E7">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梳理知识</w:t>
            </w:r>
            <w:r>
              <w:rPr>
                <w:rFonts w:hint="eastAsia" w:ascii="仿宋" w:hAnsi="仿宋" w:eastAsia="仿宋" w:cs="仿宋"/>
                <w:color w:val="000000"/>
                <w:kern w:val="0"/>
                <w:sz w:val="21"/>
                <w:szCs w:val="21"/>
                <w:lang w:val="en-US" w:eastAsia="zh-CN" w:bidi="ar"/>
              </w:rPr>
              <w:t>】</w:t>
            </w:r>
          </w:p>
          <w:p w14:paraId="3DBE6C32">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对课前学习的线上渠道知识与调研数据进行梳理，搭建基础的知识体系。</w:t>
            </w:r>
          </w:p>
          <w:p w14:paraId="2AEEDF6F">
            <w:pPr>
              <w:keepNext w:val="0"/>
              <w:keepLines w:val="0"/>
              <w:widowControl/>
              <w:numPr>
                <w:ilvl w:val="0"/>
                <w:numId w:val="0"/>
              </w:numPr>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【查漏补缺】</w:t>
            </w:r>
          </w:p>
          <w:p w14:paraId="3AF71BF9">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进一步明确本节课学习的重点、难点和目标，主动提出预习与调研中的疑问，找准知识薄弱点。</w:t>
            </w:r>
          </w:p>
        </w:tc>
        <w:tc>
          <w:tcPr>
            <w:tcW w:w="3150" w:type="dxa"/>
            <w:noWrap w:val="0"/>
            <w:vAlign w:val="top"/>
          </w:tcPr>
          <w:p w14:paraId="66E53477">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i w:val="0"/>
                <w:iCs w:val="0"/>
                <w:caps w:val="0"/>
                <w:color w:val="0F1115"/>
                <w:spacing w:val="0"/>
                <w:sz w:val="21"/>
                <w:szCs w:val="21"/>
                <w:shd w:val="clear" w:fill="FFFFFF"/>
              </w:rPr>
              <w:t>快速衔接课前学习内容与调研成果，找准学生知识薄弱点，提高课堂教学的针对性和效率。</w:t>
            </w:r>
          </w:p>
          <w:p w14:paraId="6AA719AA">
            <w:pPr>
              <w:keepNext w:val="0"/>
              <w:keepLines w:val="0"/>
              <w:widowControl/>
              <w:numPr>
                <w:ilvl w:val="0"/>
                <w:numId w:val="0"/>
              </w:numPr>
              <w:suppressLineNumbers w:val="0"/>
              <w:spacing w:line="360" w:lineRule="auto"/>
              <w:jc w:val="left"/>
              <w:rPr>
                <w:rFonts w:hint="eastAsia" w:ascii="仿宋" w:hAnsi="仿宋" w:eastAsia="仿宋" w:cs="仿宋"/>
                <w:b/>
                <w:bCs/>
                <w:i w:val="0"/>
                <w:iCs w:val="0"/>
                <w:caps w:val="0"/>
                <w:color w:val="0F1115"/>
                <w:spacing w:val="0"/>
                <w:sz w:val="21"/>
                <w:szCs w:val="21"/>
                <w:shd w:val="clear" w:fill="FFFFFF"/>
              </w:rPr>
            </w:pPr>
            <w:r>
              <w:rPr>
                <w:rFonts w:hint="eastAsia" w:ascii="仿宋" w:hAnsi="仿宋" w:eastAsia="仿宋" w:cs="仿宋"/>
                <w:b/>
                <w:bCs/>
                <w:i w:val="0"/>
                <w:iCs w:val="0"/>
                <w:caps w:val="0"/>
                <w:color w:val="0F1115"/>
                <w:spacing w:val="0"/>
                <w:sz w:val="21"/>
                <w:szCs w:val="21"/>
                <w:shd w:val="clear" w:fill="FFFFFF"/>
              </w:rPr>
              <w:t>【思政融入】</w:t>
            </w:r>
          </w:p>
          <w:p w14:paraId="081296BF">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i w:val="0"/>
                <w:iCs w:val="0"/>
                <w:caps w:val="0"/>
                <w:color w:val="0F1115"/>
                <w:spacing w:val="0"/>
                <w:sz w:val="21"/>
                <w:szCs w:val="21"/>
                <w:shd w:val="clear" w:fill="FFFFFF"/>
              </w:rPr>
              <w:t>正确的学习观：通过提问检测，引导学生养成认真预习、及时梳理知识、主动提问的良好学习习惯；</w:t>
            </w:r>
          </w:p>
          <w:p w14:paraId="73308D0D">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aps w:val="0"/>
                <w:color w:val="0F1115"/>
                <w:spacing w:val="0"/>
                <w:sz w:val="21"/>
                <w:szCs w:val="21"/>
                <w:shd w:val="clear" w:fill="FFFFFF"/>
              </w:rPr>
              <w:t>细节意识：针对磁石理论应用、色彩搭配等细节难点，培养学生注重细节、精准把握知识的学习素养。</w:t>
            </w:r>
          </w:p>
        </w:tc>
      </w:tr>
      <w:tr w14:paraId="423A2E26">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37E1E6C9">
            <w:pPr>
              <w:pStyle w:val="6"/>
              <w:spacing w:line="360" w:lineRule="exact"/>
              <w:jc w:val="center"/>
              <w:rPr>
                <w:rFonts w:hint="eastAsia" w:ascii="微软雅黑" w:hAnsi="微软雅黑" w:eastAsia="微软雅黑"/>
                <w:b/>
                <w:bCs/>
                <w:color w:val="auto"/>
                <w:sz w:val="21"/>
                <w:szCs w:val="21"/>
                <w:lang w:eastAsia="zh-CN"/>
              </w:rPr>
            </w:pPr>
            <w:r>
              <w:rPr>
                <w:rFonts w:hint="eastAsia" w:ascii="微软雅黑" w:hAnsi="微软雅黑" w:eastAsia="微软雅黑"/>
                <w:b/>
                <w:bCs/>
                <w:color w:val="auto"/>
                <w:sz w:val="21"/>
                <w:szCs w:val="21"/>
                <w:lang w:eastAsia="zh-CN"/>
              </w:rPr>
              <w:t>任务导入</w:t>
            </w:r>
          </w:p>
          <w:p w14:paraId="388F4440">
            <w:pPr>
              <w:pStyle w:val="6"/>
              <w:spacing w:line="360" w:lineRule="exact"/>
              <w:jc w:val="center"/>
              <w:rPr>
                <w:rFonts w:hint="default" w:ascii="微软雅黑" w:hAnsi="微软雅黑" w:eastAsia="微软雅黑"/>
                <w:color w:val="auto"/>
                <w:sz w:val="21"/>
                <w:szCs w:val="21"/>
                <w:lang w:val="en-US" w:eastAsia="zh-CN"/>
              </w:rPr>
            </w:pPr>
            <w:r>
              <w:rPr>
                <w:rFonts w:hint="eastAsia" w:ascii="微软雅黑" w:hAnsi="微软雅黑" w:eastAsia="微软雅黑"/>
                <w:b/>
                <w:bCs/>
                <w:color w:val="auto"/>
                <w:sz w:val="21"/>
                <w:szCs w:val="21"/>
                <w:lang w:val="en-US" w:eastAsia="zh-CN"/>
              </w:rPr>
              <w:t>5分钟</w:t>
            </w:r>
          </w:p>
        </w:tc>
        <w:tc>
          <w:tcPr>
            <w:tcW w:w="2942" w:type="dxa"/>
            <w:noWrap w:val="0"/>
            <w:vAlign w:val="top"/>
          </w:tcPr>
          <w:p w14:paraId="40FEF997">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分解课堂核心任务（校办企业门店卖场布局设计、商品陈列规划、互动场景打造、O2O 联动设计）</w:t>
            </w:r>
          </w:p>
          <w:p w14:paraId="137DC51B">
            <w:pPr>
              <w:pStyle w:val="6"/>
              <w:spacing w:line="360" w:lineRule="exact"/>
              <w:jc w:val="both"/>
              <w:rPr>
                <w:rFonts w:ascii="微软雅黑" w:hAnsi="微软雅黑" w:eastAsia="微软雅黑"/>
                <w:sz w:val="21"/>
                <w:szCs w:val="21"/>
              </w:rPr>
            </w:pPr>
            <w:r>
              <w:rPr>
                <w:rFonts w:hint="eastAsia" w:ascii="微软雅黑" w:hAnsi="微软雅黑" w:eastAsia="微软雅黑"/>
                <w:sz w:val="21"/>
                <w:szCs w:val="21"/>
                <w:lang w:val="en-US" w:eastAsia="zh-CN"/>
              </w:rPr>
              <w:t>2. 分析任务核心要求，结合校办企业门店现有场景的痛点设置认知冲突</w:t>
            </w:r>
          </w:p>
        </w:tc>
        <w:tc>
          <w:tcPr>
            <w:tcW w:w="3817" w:type="dxa"/>
            <w:noWrap w:val="0"/>
            <w:vAlign w:val="top"/>
          </w:tcPr>
          <w:p w14:paraId="1B3BFC67">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任务导入</w:t>
            </w:r>
            <w:r>
              <w:rPr>
                <w:rFonts w:hint="eastAsia" w:ascii="仿宋" w:hAnsi="仿宋" w:eastAsia="仿宋" w:cs="仿宋"/>
                <w:color w:val="000000"/>
                <w:kern w:val="0"/>
                <w:sz w:val="21"/>
                <w:szCs w:val="21"/>
                <w:lang w:val="en-US" w:eastAsia="zh-CN" w:bidi="ar"/>
              </w:rPr>
              <w:t>】引入茑屋书店、优衣库等优秀门店场景设计案例视频，展示其通过科学布局与互动场景提升消费体验的效果，对比校办企业门店现有布局松散、体验单一的现状与问题。</w:t>
            </w:r>
          </w:p>
          <w:p w14:paraId="72AF0439">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【任务分析】</w:t>
            </w:r>
            <w:r>
              <w:rPr>
                <w:rFonts w:hint="eastAsia" w:ascii="仿宋" w:hAnsi="仿宋" w:eastAsia="仿宋" w:cs="仿宋"/>
                <w:color w:val="000000"/>
                <w:kern w:val="0"/>
                <w:sz w:val="21"/>
                <w:szCs w:val="21"/>
                <w:lang w:val="en-US" w:eastAsia="zh-CN" w:bidi="ar"/>
              </w:rPr>
              <w:t>设置认知冲突 “面向师生客群的校园周边门店，如何通过科学的卖场规划与创新场景设计，提升线下体验与 O2O 联动效率？”，激发学生探究兴趣，明确本课核心任务及完成标准、时间节点。</w:t>
            </w:r>
          </w:p>
        </w:tc>
        <w:tc>
          <w:tcPr>
            <w:tcW w:w="2892" w:type="dxa"/>
            <w:noWrap w:val="0"/>
            <w:vAlign w:val="top"/>
          </w:tcPr>
          <w:p w14:paraId="4D8DFD1A">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【任务分解】</w:t>
            </w:r>
            <w:r>
              <w:rPr>
                <w:rFonts w:hint="eastAsia" w:ascii="仿宋" w:hAnsi="仿宋" w:eastAsia="仿宋" w:cs="仿宋"/>
                <w:color w:val="000000"/>
                <w:kern w:val="0"/>
                <w:sz w:val="21"/>
                <w:szCs w:val="21"/>
                <w:lang w:val="en-US" w:eastAsia="zh-CN" w:bidi="ar"/>
              </w:rPr>
              <w:t>将课堂任务细化为 “门店现状分析 - 卖场布局设计 - 商品陈列规划 - 氛围与互动场景打造 - O2O 联动设计 - 方案撰写” 六个步骤。</w:t>
            </w:r>
          </w:p>
          <w:p w14:paraId="07F0EBA3">
            <w:pPr>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【任务分工】</w:t>
            </w:r>
          </w:p>
          <w:p w14:paraId="2806B0CE">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按照分解的任务进行小组内人员再分工，明确各成员核心工作内容与完成要求。</w:t>
            </w:r>
          </w:p>
        </w:tc>
        <w:tc>
          <w:tcPr>
            <w:tcW w:w="3150" w:type="dxa"/>
            <w:noWrap w:val="0"/>
            <w:vAlign w:val="top"/>
          </w:tcPr>
          <w:p w14:paraId="32D7ACCB">
            <w:pPr>
              <w:keepNext w:val="0"/>
              <w:keepLines w:val="0"/>
              <w:widowControl/>
              <w:numPr>
                <w:ilvl w:val="0"/>
                <w:numId w:val="0"/>
              </w:numPr>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b w:val="0"/>
                <w:bCs w:val="0"/>
                <w:color w:val="000000"/>
                <w:kern w:val="0"/>
                <w:sz w:val="21"/>
                <w:szCs w:val="21"/>
                <w:lang w:val="en-US" w:eastAsia="zh-CN" w:bidi="ar"/>
              </w:rPr>
              <w:t>以真实的企业场景升级问题切入，激发学生学习与探究动机，让学生明确课堂学习的实际应用价值。</w:t>
            </w:r>
          </w:p>
          <w:p w14:paraId="3DB0864E">
            <w:pPr>
              <w:keepNext w:val="0"/>
              <w:keepLines w:val="0"/>
              <w:widowControl/>
              <w:numPr>
                <w:ilvl w:val="0"/>
                <w:numId w:val="0"/>
              </w:numPr>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0AB39B81">
            <w:pPr>
              <w:keepNext w:val="0"/>
              <w:keepLines w:val="0"/>
              <w:widowControl/>
              <w:numPr>
                <w:ilvl w:val="0"/>
                <w:numId w:val="0"/>
              </w:numPr>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问题导向：培养学生结合企业实际发现场景痛点、解决问题的职业思维与实践意识；</w:t>
            </w:r>
          </w:p>
          <w:p w14:paraId="11BB0485">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创新意识：引导学生思考传统门店场景的升级方向，培养勇于突破、追求创新的职业素养。</w:t>
            </w:r>
          </w:p>
        </w:tc>
      </w:tr>
      <w:tr w14:paraId="4314EFE5">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14C5E3FE">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52904AB0">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一</w:t>
            </w:r>
          </w:p>
          <w:p w14:paraId="02B49203">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35953511">
            <w:pPr>
              <w:pStyle w:val="6"/>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卖场规划核心内容设计</w:t>
            </w:r>
          </w:p>
          <w:p w14:paraId="4A520863">
            <w:pPr>
              <w:pStyle w:val="6"/>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卖场布局类型（格子式、自由流动式、跑道式）的特点与适配业态，结合校办企业门店业态选择合适的布局类型；</w:t>
            </w:r>
          </w:p>
          <w:p w14:paraId="2A4915E3">
            <w:pPr>
              <w:pStyle w:val="6"/>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货位规划依据：磁石理论（五个磁石点商品配置）、购物决策树、商品关联性、客群购买顺序与频率；</w:t>
            </w:r>
          </w:p>
          <w:p w14:paraId="5FEB8C62">
            <w:pPr>
              <w:pStyle w:val="6"/>
              <w:numPr>
                <w:ilvl w:val="0"/>
                <w:numId w:val="0"/>
              </w:numPr>
              <w:spacing w:line="360" w:lineRule="exact"/>
              <w:jc w:val="both"/>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 通道设计原则（主次分明、笔直平坦、无障碍物）与商品陈列的核心原则（显而易见、容易挑选、便于取放、丰富丰满、关联陈列）。</w:t>
            </w:r>
          </w:p>
        </w:tc>
        <w:tc>
          <w:tcPr>
            <w:tcW w:w="3817" w:type="dxa"/>
            <w:noWrap w:val="0"/>
            <w:vAlign w:val="top"/>
          </w:tcPr>
          <w:p w14:paraId="7DB0478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讲解卖场规划核心知识点，结合图表直观展示布局类型、磁石点分布、陈列原则的具体要求；</w:t>
            </w:r>
          </w:p>
          <w:p w14:paraId="3974E57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结合超市、水果店、奶茶店的优秀布局案例，分析其布局类型选择、磁石理论应用与陈列逻辑；</w:t>
            </w:r>
          </w:p>
          <w:p w14:paraId="4370B91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【发起讨论】</w:t>
            </w:r>
            <w:r>
              <w:rPr>
                <w:rFonts w:hint="eastAsia" w:ascii="仿宋" w:hAnsi="仿宋" w:eastAsia="仿宋" w:cs="仿宋"/>
                <w:color w:val="000000"/>
                <w:kern w:val="0"/>
                <w:sz w:val="21"/>
                <w:szCs w:val="21"/>
                <w:lang w:val="en-US" w:eastAsia="zh-CN" w:bidi="ar"/>
              </w:rPr>
              <w:t>“校办企业的超市 / 水果店 / 奶茶店，适合选择哪种布局类型？核心磁石点应配置哪些商品？”，引导学生结合调研数据与知识思考；</w:t>
            </w:r>
          </w:p>
          <w:p w14:paraId="387EAAF1">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了解学生思考进度，解答货位规划与陈列设计的疑问，引导学生结合客群购物习惯进行布局优化。</w:t>
            </w:r>
          </w:p>
          <w:p w14:paraId="296272F3">
            <w:pPr>
              <w:spacing w:line="360" w:lineRule="exact"/>
              <w:jc w:val="left"/>
              <w:rPr>
                <w:rFonts w:hint="eastAsia" w:ascii="仿宋" w:hAnsi="仿宋" w:eastAsia="仿宋" w:cs="仿宋"/>
                <w:color w:val="000000"/>
                <w:kern w:val="0"/>
                <w:sz w:val="21"/>
                <w:szCs w:val="21"/>
                <w:lang w:val="en-US" w:eastAsia="zh-CN" w:bidi="ar"/>
              </w:rPr>
            </w:pPr>
          </w:p>
        </w:tc>
        <w:tc>
          <w:tcPr>
            <w:tcW w:w="2892" w:type="dxa"/>
            <w:noWrap w:val="0"/>
            <w:vAlign w:val="top"/>
          </w:tcPr>
          <w:p w14:paraId="3EBEED55">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】结合知识点、调研数据与优秀案例，小组讨论并汇报老师提出的问题，梳理布局类型、磁石理论、陈列原则的应用逻辑；</w:t>
            </w:r>
          </w:p>
          <w:p w14:paraId="405AABE8">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【方案设计】</w:t>
            </w:r>
          </w:p>
          <w:p w14:paraId="3D20DAA4">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小组协作完成选定门店的卖场布局草图，明确磁石点商品配置、通道规划与核心商品陈列方案；</w:t>
            </w:r>
          </w:p>
          <w:p w14:paraId="2FBC1F83">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【初步校验】</w:t>
            </w:r>
          </w:p>
          <w:p w14:paraId="77789A8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结合客群购物习惯调研数据，校验布局与陈列方案的合理性，进行初步优化。</w:t>
            </w:r>
          </w:p>
        </w:tc>
        <w:tc>
          <w:tcPr>
            <w:tcW w:w="3150" w:type="dxa"/>
            <w:noWrap w:val="0"/>
            <w:vAlign w:val="top"/>
          </w:tcPr>
          <w:p w14:paraId="421E2311">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color w:val="000000"/>
                <w:kern w:val="0"/>
                <w:sz w:val="21"/>
                <w:szCs w:val="21"/>
                <w:lang w:val="en-US" w:eastAsia="zh-CN" w:bidi="ar"/>
              </w:rPr>
              <w:t>（1）通过案例展示与实操设计，让学生掌握卖场规划的核心内容与应用方法，贴合教学重点；</w:t>
            </w:r>
          </w:p>
          <w:p w14:paraId="16528A57">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（2）通过小组讨论与方案设计，锻炼学生的逻辑思维与实操设计能力，深化对知识的理解；</w:t>
            </w:r>
          </w:p>
          <w:p w14:paraId="7FB345CB">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（3）结合校办企业实际，实现知识与课堂任务的初步衔接。</w:t>
            </w:r>
          </w:p>
          <w:p w14:paraId="6EB9E80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【思政融入】</w:t>
            </w:r>
          </w:p>
          <w:p w14:paraId="79A9BD29">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以人为本：引导学生结合客群购物习惯进行布局与陈列设计，培养以用户为中心的服务伦理；</w:t>
            </w:r>
          </w:p>
          <w:p w14:paraId="782B917D">
            <w:pPr>
              <w:keepNext w:val="0"/>
              <w:keepLines w:val="0"/>
              <w:widowControl/>
              <w:suppressLineNumbers w:val="0"/>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系统思维：通过卖场布局、货位、通道、陈列的统筹设计，培养学生的整体规划、系统思考的职业能力。</w:t>
            </w:r>
          </w:p>
        </w:tc>
      </w:tr>
      <w:tr w14:paraId="60E2DDD1">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458D591B">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36313AD6">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二</w:t>
            </w:r>
          </w:p>
          <w:p w14:paraId="0599C471">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20分钟</w:t>
            </w:r>
          </w:p>
        </w:tc>
        <w:tc>
          <w:tcPr>
            <w:tcW w:w="2942" w:type="dxa"/>
            <w:noWrap w:val="0"/>
            <w:vAlign w:val="top"/>
          </w:tcPr>
          <w:p w14:paraId="4FD8C070">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场景氛围营造与互动体验设计</w:t>
            </w:r>
          </w:p>
          <w:p w14:paraId="3E109921">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场景氛围营造：色彩设计原理（色相、明度、纯度）、色彩情感与门店业态的适配性，照明设计对场景体验的影响；</w:t>
            </w:r>
          </w:p>
          <w:p w14:paraId="5390959F">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互动式体验场景的打造角度（商品试用、娱乐体验、五感融合）与方法，互动工具的选择（二维码、小程序、VR/AR 设备）；</w:t>
            </w:r>
          </w:p>
          <w:p w14:paraId="0DF60418">
            <w:pPr>
              <w:pStyle w:val="6"/>
              <w:spacing w:line="360" w:lineRule="exact"/>
              <w:jc w:val="both"/>
              <w:rPr>
                <w:rFonts w:ascii="微软雅黑" w:hAnsi="微软雅黑" w:eastAsia="微软雅黑"/>
                <w:sz w:val="21"/>
                <w:szCs w:val="21"/>
              </w:rPr>
            </w:pPr>
            <w:r>
              <w:rPr>
                <w:rFonts w:hint="eastAsia" w:ascii="微软雅黑" w:hAnsi="微软雅黑" w:eastAsia="微软雅黑"/>
                <w:sz w:val="21"/>
                <w:szCs w:val="21"/>
                <w:lang w:val="en-US" w:eastAsia="zh-CN"/>
              </w:rPr>
              <w:t>3. 结合门店业态设计 1-2 个低成本、高适配的互动体验场景。</w:t>
            </w:r>
          </w:p>
        </w:tc>
        <w:tc>
          <w:tcPr>
            <w:tcW w:w="3817" w:type="dxa"/>
            <w:noWrap w:val="0"/>
            <w:vAlign w:val="top"/>
          </w:tcPr>
          <w:p w14:paraId="6BA2ABE4">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】讲解场景氛围营造与互动体验的核心知识点，结合案例视频展示色彩搭配与互动场景的实际效果；</w:t>
            </w:r>
          </w:p>
          <w:p w14:paraId="67F36FC5">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结合丝芙兰 AR 魔镜、vivo 智慧旗舰店互动体验案例，分析互动场景的设计逻辑与用户反馈；</w:t>
            </w:r>
          </w:p>
          <w:p w14:paraId="7D71CC23">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【活动组织】</w:t>
            </w:r>
            <w:r>
              <w:rPr>
                <w:rFonts w:hint="eastAsia" w:ascii="仿宋" w:hAnsi="仿宋" w:eastAsia="仿宋" w:cs="仿宋"/>
                <w:color w:val="000000"/>
                <w:kern w:val="0"/>
                <w:sz w:val="21"/>
                <w:szCs w:val="21"/>
                <w:lang w:val="en-US" w:eastAsia="zh-CN" w:bidi="ar"/>
              </w:rPr>
              <w:t>布置小组任务，要求为选定门店设计氛围营造方案（色彩、照明）与 1-2 个互动体验场景，明确设计思路与落地方式；</w:t>
            </w:r>
          </w:p>
          <w:p w14:paraId="2BD43629">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了解学生任务完成进度，提供技术支持，解答色彩搭配、互动工具选择的疑问；</w:t>
            </w:r>
          </w:p>
          <w:p w14:paraId="01C380B6">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【作品点评】</w:t>
            </w:r>
            <w:r>
              <w:rPr>
                <w:rFonts w:hint="eastAsia" w:ascii="仿宋" w:hAnsi="仿宋" w:eastAsia="仿宋" w:cs="仿宋"/>
                <w:color w:val="000000"/>
                <w:kern w:val="0"/>
                <w:sz w:val="21"/>
                <w:szCs w:val="21"/>
                <w:lang w:val="en-US" w:eastAsia="zh-CN" w:bidi="ar"/>
              </w:rPr>
              <w:t>点评学生的氛围与互动场景设计方案，总结设计要点与难点。</w:t>
            </w:r>
          </w:p>
        </w:tc>
        <w:tc>
          <w:tcPr>
            <w:tcW w:w="2892" w:type="dxa"/>
            <w:noWrap w:val="0"/>
            <w:vAlign w:val="top"/>
          </w:tcPr>
          <w:p w14:paraId="67585F8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】结合知识点与优秀案例，小组讨论选定门店的色彩搭配方案、照明设计思路与互动体验场景方向；</w:t>
            </w:r>
          </w:p>
          <w:p w14:paraId="0D2D364C">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【方案设计】</w:t>
            </w:r>
          </w:p>
          <w:p w14:paraId="7F77C12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小组分工协作，完成色彩搭配表、照明布局图与互动体验场景设计方案，明确互动流程、所需工具与落地成本；</w:t>
            </w:r>
          </w:p>
          <w:p w14:paraId="4946C011">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【成果展示】</w:t>
            </w:r>
          </w:p>
          <w:p w14:paraId="4068F137">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学生分组展示方案，说明色彩与互动场景的设计依据及预期效果；</w:t>
            </w:r>
          </w:p>
          <w:p w14:paraId="157B76E9">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【初步衔接】</w:t>
            </w:r>
          </w:p>
          <w:p w14:paraId="4CCDC030">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结合前期卖场规划方案，将氛围与互动场景融入整体布局中。</w:t>
            </w:r>
          </w:p>
        </w:tc>
        <w:tc>
          <w:tcPr>
            <w:tcW w:w="3150" w:type="dxa"/>
            <w:noWrap w:val="0"/>
            <w:vAlign w:val="top"/>
          </w:tcPr>
          <w:p w14:paraId="147EAFE6">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p>
          <w:p w14:paraId="5132DEE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（1）通过案例分析，让学生理解场景搭建技术与 O2O 联动的核心逻辑，贴合教学重点；</w:t>
            </w:r>
          </w:p>
          <w:p w14:paraId="5EF4887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（2）通过技术选择与联动设计，让学生将场景设计与 O2O 运营结合，实现知识的系统整合；</w:t>
            </w:r>
          </w:p>
          <w:p w14:paraId="097B213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（3）完成课堂任务核心环节，形成完整的场景搭建方案。</w:t>
            </w:r>
          </w:p>
          <w:p w14:paraId="6836503D">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6763016E">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技术赋能：让学生认识到 VR/AR 等新技术对场景升级与 O2O 联动的核心作用，培养技术赋能零售的行业认知；</w:t>
            </w:r>
          </w:p>
          <w:p w14:paraId="58F307E0">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产业自信：通过国内企业技术应用与联动的成功案例，感受我国零售业的创新实力，增强产业自信与职业使命感；</w:t>
            </w:r>
          </w:p>
          <w:p w14:paraId="0024D7AC">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协同思维：通过场景与 O2O 运营的联动设计，培养学生的资源整合、协同发展的系统思维。</w:t>
            </w:r>
          </w:p>
        </w:tc>
      </w:tr>
      <w:tr w14:paraId="5C3BCDD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2431A39B">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770720EE">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三</w:t>
            </w:r>
          </w:p>
          <w:p w14:paraId="09BDBD73">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1C4ED2F8">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场景搭建技术应用与 O2O 联动设计</w:t>
            </w:r>
          </w:p>
          <w:p w14:paraId="01ED7D54">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场景搭建技术的适配选择：VR/AR 技术、智能货架、电子价签、无人结算等技术的应用场景与成本；</w:t>
            </w:r>
          </w:p>
          <w:p w14:paraId="75E7BBEE">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线上线下融合场景的打造策略：线下场景扫码引流至线上、线上预约线下体验、线上线下优惠通用；</w:t>
            </w:r>
          </w:p>
          <w:p w14:paraId="69D5C63D">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 结合门店实际与 O2O 运营需求，设计技术应用与联动措施，实现场景与 O2O 的深度融合。</w:t>
            </w:r>
          </w:p>
        </w:tc>
        <w:tc>
          <w:tcPr>
            <w:tcW w:w="3817" w:type="dxa"/>
            <w:noWrap w:val="0"/>
            <w:vAlign w:val="top"/>
          </w:tcPr>
          <w:p w14:paraId="40A57628">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】讲解场景搭建技术与 O2O 联动的核心知识点，结合案例分析技术应用与联动的实际效果；</w:t>
            </w:r>
          </w:p>
          <w:p w14:paraId="1591D7ED">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结合优衣库 VR 试衣间 + 线上预约、银泰百货柜姐直播 + 线下自提案例，分析场景与 O2O 联动的落地逻辑；</w:t>
            </w:r>
          </w:p>
          <w:p w14:paraId="301FFB8F">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【活动组织】</w:t>
            </w:r>
            <w:r>
              <w:rPr>
                <w:rFonts w:hint="eastAsia" w:ascii="仿宋" w:hAnsi="仿宋" w:eastAsia="仿宋" w:cs="仿宋"/>
                <w:color w:val="000000"/>
                <w:kern w:val="0"/>
                <w:sz w:val="21"/>
                <w:szCs w:val="21"/>
                <w:lang w:val="en-US" w:eastAsia="zh-CN" w:bidi="ar"/>
              </w:rPr>
              <w:t>布置小组任务，要求为选定门店选择适配的场景搭建技术，设计线上线下联动措施，融入整体场景方案；</w:t>
            </w:r>
          </w:p>
          <w:p w14:paraId="325BC47A">
            <w:pPr>
              <w:keepNext w:val="0"/>
              <w:keepLines w:val="0"/>
              <w:widowControl/>
              <w:numPr>
                <w:ilvl w:val="0"/>
                <w:numId w:val="0"/>
              </w:numPr>
              <w:suppressLineNumbers w:val="0"/>
              <w:ind w:left="0" w:leftChars="0" w:firstLine="0" w:firstLine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了解学生任务完成进度，为技术选择与联动设计提供技术支持，解答 O2O 联动的疑问；</w:t>
            </w:r>
          </w:p>
        </w:tc>
        <w:tc>
          <w:tcPr>
            <w:tcW w:w="2892" w:type="dxa"/>
            <w:noWrap w:val="0"/>
            <w:vAlign w:val="top"/>
          </w:tcPr>
          <w:p w14:paraId="7EB735C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结合知识点与案例，小组讨论选定门店适配的场景搭建技术，明确技术应用场景与 O2O 联动方向；</w:t>
            </w:r>
          </w:p>
          <w:p w14:paraId="21838091">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【方案设计】</w:t>
            </w:r>
          </w:p>
          <w:p w14:paraId="53BEC96A">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小组分工协作，设计技术应用方案（如 AR 商品信息查询、智能价签同步线上优惠）与 O2O 联动措施（如场景扫码入社群、线上预约体验）；</w:t>
            </w:r>
          </w:p>
          <w:p w14:paraId="12CD3ED2">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【初稿撰写】</w:t>
            </w:r>
          </w:p>
          <w:p w14:paraId="7A22A7B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整合前期卖场规划、氛围营造、互动设计、技术应用与联动措施，撰写校办企业门店内部场景搭建方案初稿；</w:t>
            </w:r>
          </w:p>
        </w:tc>
        <w:tc>
          <w:tcPr>
            <w:tcW w:w="3150" w:type="dxa"/>
            <w:noWrap w:val="0"/>
            <w:vAlign w:val="top"/>
          </w:tcPr>
          <w:p w14:paraId="322095D3">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p>
          <w:p w14:paraId="1D991BC3">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（1）通过案例分析，让学生理解场景搭建技术与 O2O 联动的核心逻辑，贴合教学重点；</w:t>
            </w:r>
          </w:p>
          <w:p w14:paraId="31363067">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（2）通过技术选择与联动设计，让学生将场景设计与 O2O 运营结合，实现知识的系统整合；</w:t>
            </w:r>
          </w:p>
          <w:p w14:paraId="4950FF9E">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（3）完成课堂任务核心环节，形成完整的场景搭建方案。</w:t>
            </w:r>
          </w:p>
          <w:p w14:paraId="0D5F7984">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370A5C7A">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技术赋能：让学生认识到 VR/AR 等新技术对场景升级与 O2O 联动的核心作用，培养技术赋能零售的行业认知；</w:t>
            </w:r>
          </w:p>
          <w:p w14:paraId="4F5418A0">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产业自信：通过国内企业技术应用与联动的成功案例，感受我国零售业的创新实力，增强产业自信与职业使命感；</w:t>
            </w:r>
          </w:p>
          <w:p w14:paraId="19CB55E0">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协同思维：通过场景与 O2O 运营的联动设计，培养学生的资源整合、协同发展的系统思维。</w:t>
            </w:r>
          </w:p>
        </w:tc>
      </w:tr>
      <w:tr w14:paraId="1AAFD4AB">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3C252534">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学生互评</w:t>
            </w:r>
          </w:p>
          <w:p w14:paraId="415752D6">
            <w:pPr>
              <w:pStyle w:val="6"/>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20分钟</w:t>
            </w:r>
          </w:p>
        </w:tc>
        <w:tc>
          <w:tcPr>
            <w:tcW w:w="2942" w:type="dxa"/>
            <w:noWrap w:val="0"/>
            <w:vAlign w:val="top"/>
          </w:tcPr>
          <w:p w14:paraId="6694E890">
            <w:pPr>
              <w:pStyle w:val="6"/>
              <w:spacing w:line="360" w:lineRule="exact"/>
              <w:jc w:val="both"/>
              <w:rPr>
                <w:rFonts w:hint="eastAsia" w:ascii="微软雅黑" w:hAnsi="微软雅黑" w:eastAsia="微软雅黑"/>
                <w:b/>
                <w:bCs/>
                <w:sz w:val="21"/>
                <w:szCs w:val="21"/>
                <w:lang w:val="en-US" w:eastAsia="zh-CN"/>
              </w:rPr>
            </w:pPr>
            <w:r>
              <w:rPr>
                <w:rFonts w:hint="eastAsia" w:ascii="微软雅黑" w:hAnsi="微软雅黑" w:eastAsia="微软雅黑"/>
                <w:sz w:val="21"/>
                <w:szCs w:val="21"/>
                <w:lang w:val="en-US" w:eastAsia="zh-CN"/>
              </w:rPr>
              <w:t>组织小组展示门店内部场景搭建方案初稿，引导学生互评，提炼亮点与不足，完善设计方案</w:t>
            </w:r>
          </w:p>
        </w:tc>
        <w:tc>
          <w:tcPr>
            <w:tcW w:w="3817" w:type="dxa"/>
            <w:noWrap w:val="0"/>
            <w:vAlign w:val="top"/>
          </w:tcPr>
          <w:p w14:paraId="143CA60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点评总结</w:t>
            </w:r>
            <w:r>
              <w:rPr>
                <w:rFonts w:hint="eastAsia" w:ascii="仿宋" w:hAnsi="仿宋" w:eastAsia="仿宋" w:cs="仿宋"/>
                <w:color w:val="000000"/>
                <w:kern w:val="0"/>
                <w:sz w:val="21"/>
                <w:szCs w:val="21"/>
                <w:lang w:val="en-US" w:eastAsia="zh-CN" w:bidi="ar"/>
              </w:rPr>
              <w:t>】</w:t>
            </w:r>
          </w:p>
          <w:p w14:paraId="1C1BE5B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组织各小组依次展示方案初稿，引导其他小组从 “布局科学性、体验舒适度、技术适配性、联动高效性、落地可行性” 五个维度进行提问与点评；梳理各小组成果的亮点与共性问题，进行针对性指导，重点强调以人为本、成本可控的优化方向。</w:t>
            </w:r>
          </w:p>
        </w:tc>
        <w:tc>
          <w:tcPr>
            <w:tcW w:w="2892" w:type="dxa"/>
            <w:noWrap w:val="0"/>
            <w:vAlign w:val="top"/>
          </w:tcPr>
          <w:p w14:paraId="4D7C0464">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作品展示</w:t>
            </w:r>
            <w:r>
              <w:rPr>
                <w:rFonts w:hint="eastAsia" w:ascii="仿宋" w:hAnsi="仿宋" w:eastAsia="仿宋" w:cs="仿宋"/>
                <w:color w:val="000000"/>
                <w:kern w:val="0"/>
                <w:sz w:val="21"/>
                <w:szCs w:val="21"/>
                <w:lang w:val="en-US" w:eastAsia="zh-CN" w:bidi="ar"/>
              </w:rPr>
              <w:t>】</w:t>
            </w:r>
          </w:p>
          <w:p w14:paraId="5DDFB2C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小组派代表展示方案初稿，讲解整体设计思路、核心亮点（布局、场景、技术、联动）与落地计划，接受其他小组提问与点评；</w:t>
            </w:r>
          </w:p>
          <w:p w14:paraId="0050944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【参与互评】</w:t>
            </w:r>
          </w:p>
          <w:p w14:paraId="24856C3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按照评价维度对其他小组的成果进行点评与打分，提炼优秀的设计思路与技术应用方案；</w:t>
            </w:r>
          </w:p>
          <w:p w14:paraId="76194E37">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【修改完善】</w:t>
            </w:r>
          </w:p>
          <w:p w14:paraId="575EFB7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结合互评意见与教师指导，修改完善本组的门店内部场景搭建方案，形成最终版。</w:t>
            </w:r>
          </w:p>
        </w:tc>
        <w:tc>
          <w:tcPr>
            <w:tcW w:w="3150" w:type="dxa"/>
            <w:noWrap w:val="0"/>
            <w:vAlign w:val="top"/>
          </w:tcPr>
          <w:p w14:paraId="78495CC0">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color w:val="000000"/>
                <w:kern w:val="0"/>
                <w:sz w:val="21"/>
                <w:szCs w:val="21"/>
                <w:lang w:val="en-US" w:eastAsia="zh-CN" w:bidi="ar"/>
              </w:rPr>
              <w:t>锻炼学生的表达沟通能力、临场应变能力与批判性思维，在集体智慧中深化认知，完善设计方案。</w:t>
            </w:r>
          </w:p>
          <w:p w14:paraId="413FF7A7">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4CAA5A74">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公平竞争：营造公平竞争、相互学习、共同进步的课堂氛围，培养学生的包容与学习意识；</w:t>
            </w:r>
          </w:p>
          <w:p w14:paraId="3D0174A2">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精益求精：通过互评与修改，培养学生不断优化、追求完美的工匠精神与职业素养；</w:t>
            </w:r>
          </w:p>
          <w:p w14:paraId="50D7868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团队协作：认可小组协作的成果，强化学生的团队合作意识与集体荣誉感。。</w:t>
            </w:r>
          </w:p>
        </w:tc>
      </w:tr>
      <w:tr w14:paraId="5A5DC3B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01FBD7FD">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总结升华</w:t>
            </w:r>
          </w:p>
          <w:p w14:paraId="34A25620">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16723DA7">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梳理本课核心知识（卖场规划、场景营造、互动设计、技术应用、O2O 联动）</w:t>
            </w:r>
          </w:p>
          <w:p w14:paraId="263B4A5A">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提炼本课核心思想：零售门店内部场景搭建的核心是 “以人为本、科学布局、创新体验、技术赋能、O2O 融合”</w:t>
            </w:r>
          </w:p>
          <w:p w14:paraId="1CE9132A">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3. 结合行业趋势，提出电商专业学生场景设计能力的提升方向与学习建议</w:t>
            </w:r>
          </w:p>
        </w:tc>
        <w:tc>
          <w:tcPr>
            <w:tcW w:w="3817" w:type="dxa"/>
            <w:noWrap w:val="0"/>
            <w:vAlign w:val="top"/>
          </w:tcPr>
          <w:p w14:paraId="7AF2F432">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【课堂总结】</w:t>
            </w:r>
            <w:r>
              <w:rPr>
                <w:rFonts w:hint="eastAsia" w:ascii="仿宋" w:hAnsi="仿宋" w:eastAsia="仿宋" w:cs="仿宋"/>
                <w:i w:val="0"/>
                <w:iCs w:val="0"/>
                <w:caps w:val="0"/>
                <w:color w:val="0F1115"/>
                <w:spacing w:val="0"/>
                <w:sz w:val="21"/>
                <w:szCs w:val="21"/>
                <w:shd w:val="clear" w:fill="FFFFFF"/>
              </w:rPr>
              <w:br w:type="textWrapping"/>
            </w:r>
            <w:r>
              <w:rPr>
                <w:rFonts w:hint="eastAsia" w:ascii="仿宋" w:hAnsi="仿宋" w:eastAsia="仿宋" w:cs="仿宋"/>
                <w:color w:val="000000"/>
                <w:kern w:val="0"/>
                <w:sz w:val="21"/>
                <w:szCs w:val="21"/>
                <w:lang w:val="en-US" w:eastAsia="zh-CN" w:bidi="ar"/>
              </w:rPr>
              <w:t>以思维导图形式梳理本课核心知识框架，强调教学重点与难点；总结本课核心思想，点明场景搭建的关键在于平衡用户体验、商业需求与技术可行性；结合新零售场景创新的发展趋势（元宇宙零售、机器人服务），提出电商专业学生需注重的空间设计、创意构思、技术应用、用户洞察等核心能力的提升方向与学习建议。</w:t>
            </w:r>
          </w:p>
        </w:tc>
        <w:tc>
          <w:tcPr>
            <w:tcW w:w="2892" w:type="dxa"/>
            <w:noWrap w:val="0"/>
            <w:vAlign w:val="top"/>
          </w:tcPr>
          <w:p w14:paraId="534D6D6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【聆听总结】</w:t>
            </w:r>
            <w:r>
              <w:rPr>
                <w:rFonts w:hint="eastAsia" w:ascii="仿宋" w:hAnsi="仿宋" w:eastAsia="仿宋" w:cs="仿宋"/>
                <w:color w:val="000000"/>
                <w:kern w:val="0"/>
                <w:sz w:val="21"/>
                <w:szCs w:val="21"/>
                <w:lang w:val="en-US" w:eastAsia="zh-CN" w:bidi="ar"/>
              </w:rPr>
              <w:t>认真聆听教师总结，补充完善课堂笔记，搭建系统的场景设计知识框架；</w:t>
            </w:r>
          </w:p>
          <w:p w14:paraId="2AEA5D42">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【反思提升】</w:t>
            </w:r>
          </w:p>
          <w:p w14:paraId="7D1CB06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结合本节课的学习与实践，反思自身在布局设计、创意构思、技术应用方面的不足，调整并完善企业方案，树立后续专业学习的目标与方向。</w:t>
            </w:r>
          </w:p>
        </w:tc>
        <w:tc>
          <w:tcPr>
            <w:tcW w:w="3150" w:type="dxa"/>
            <w:noWrap w:val="0"/>
            <w:vAlign w:val="top"/>
          </w:tcPr>
          <w:p w14:paraId="37680C8B">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 </w:t>
            </w:r>
            <w:r>
              <w:rPr>
                <w:rFonts w:hint="eastAsia" w:ascii="仿宋" w:hAnsi="仿宋" w:eastAsia="仿宋" w:cs="仿宋"/>
                <w:color w:val="000000"/>
                <w:kern w:val="0"/>
                <w:sz w:val="21"/>
                <w:szCs w:val="21"/>
                <w:lang w:val="en-US" w:eastAsia="zh-CN" w:bidi="ar"/>
              </w:rPr>
              <w:t>巩固学习成果，帮助学生搭建系统的场景设计知识框架；引导学生从知识学习向能力提升、行业认知延伸，实现 “做中学、学中思”。</w:t>
            </w:r>
          </w:p>
          <w:p w14:paraId="706C71D7">
            <w:pPr>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3DB4ACE6">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职业素养：明确电商专业学生场景设计的能力要求，培养学生的创新设计、技术应用、用户洞察的职业素养；</w:t>
            </w:r>
          </w:p>
          <w:p w14:paraId="0C2F60D2">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时代担当：让学生认识到场景创新是零售业转型升级的重要方向，激发学生的专业使命感与行业担当；</w:t>
            </w:r>
          </w:p>
          <w:p w14:paraId="03F452DD">
            <w:pPr>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color w:val="000000"/>
                <w:kern w:val="0"/>
                <w:sz w:val="21"/>
                <w:szCs w:val="21"/>
                <w:lang w:val="en-US" w:eastAsia="zh-CN" w:bidi="ar"/>
              </w:rPr>
              <w:t>终身学习：引导学生关注场景设计与新技术应用的行业趋势，树立持续学习、紧跟行业发展的职业理念。</w:t>
            </w:r>
          </w:p>
        </w:tc>
      </w:tr>
      <w:tr w14:paraId="2A0AA47A">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top"/>
          </w:tcPr>
          <w:p w14:paraId="76592E6D">
            <w:pPr>
              <w:adjustRightInd w:val="0"/>
              <w:snapToGrid w:val="0"/>
              <w:spacing w:line="360" w:lineRule="exact"/>
              <w:jc w:val="center"/>
              <w:rPr>
                <w:rFonts w:hint="eastAsia" w:ascii="仿宋" w:hAnsi="仿宋" w:eastAsia="仿宋" w:cs="仿宋"/>
                <w:color w:val="000000"/>
                <w:kern w:val="0"/>
                <w:sz w:val="21"/>
                <w:szCs w:val="21"/>
                <w:lang w:val="en-US" w:eastAsia="zh-CN" w:bidi="ar"/>
              </w:rPr>
            </w:pPr>
            <w:r>
              <w:rPr>
                <w:rFonts w:hint="eastAsia" w:ascii="仿宋" w:hAnsi="仿宋" w:eastAsia="仿宋" w:cs="仿宋"/>
                <w:b/>
                <w:color w:val="auto"/>
                <w:sz w:val="21"/>
                <w:szCs w:val="21"/>
                <w:lang w:val="en-US" w:eastAsia="zh-CN"/>
              </w:rPr>
              <w:t>课后</w:t>
            </w:r>
          </w:p>
        </w:tc>
      </w:tr>
      <w:tr w14:paraId="0BAF905D">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1226" w:hRule="atLeast"/>
          <w:jc w:val="center"/>
        </w:trPr>
        <w:tc>
          <w:tcPr>
            <w:tcW w:w="1203" w:type="dxa"/>
            <w:shd w:val="clear" w:color="auto" w:fill="C7DAF1"/>
            <w:noWrap w:val="0"/>
            <w:vAlign w:val="center"/>
          </w:tcPr>
          <w:p w14:paraId="31A61394">
            <w:pPr>
              <w:spacing w:line="360" w:lineRule="exact"/>
              <w:jc w:val="center"/>
              <w:rPr>
                <w:rFonts w:ascii="微软雅黑" w:hAnsi="微软雅黑" w:eastAsia="微软雅黑"/>
                <w:color w:val="auto"/>
                <w:kern w:val="0"/>
                <w:sz w:val="21"/>
                <w:szCs w:val="21"/>
              </w:rPr>
            </w:pPr>
            <w:r>
              <w:rPr>
                <w:rFonts w:hint="eastAsia" w:ascii="微软雅黑" w:hAnsi="微软雅黑" w:eastAsia="微软雅黑" w:cs="宋体"/>
                <w:b/>
                <w:bCs/>
                <w:color w:val="auto"/>
                <w:kern w:val="0"/>
                <w:sz w:val="21"/>
                <w:szCs w:val="21"/>
                <w:lang w:val="en-US" w:eastAsia="zh-CN" w:bidi="ar-SA"/>
              </w:rPr>
              <w:t>学以致用</w:t>
            </w:r>
          </w:p>
        </w:tc>
        <w:tc>
          <w:tcPr>
            <w:tcW w:w="2942" w:type="dxa"/>
            <w:noWrap w:val="0"/>
            <w:vAlign w:val="top"/>
          </w:tcPr>
          <w:p w14:paraId="09E8B175">
            <w:pPr>
              <w:numPr>
                <w:ilvl w:val="0"/>
                <w:numId w:val="0"/>
              </w:numPr>
              <w:spacing w:line="360" w:lineRule="exact"/>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 完成并提交最终版校办企业门店内部场景搭建方案</w:t>
            </w:r>
          </w:p>
          <w:p w14:paraId="7FE02370">
            <w:pPr>
              <w:numPr>
                <w:ilvl w:val="0"/>
                <w:numId w:val="0"/>
              </w:numPr>
              <w:spacing w:line="360" w:lineRule="exact"/>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 完成线上课后测验、撰写学习反思，结合绿色零售理念进一步优化方案中的环保设计；</w:t>
            </w:r>
          </w:p>
          <w:p w14:paraId="4BD4463D">
            <w:pPr>
              <w:numPr>
                <w:ilvl w:val="0"/>
                <w:numId w:val="0"/>
              </w:numPr>
              <w:spacing w:line="360" w:lineRule="exact"/>
              <w:rPr>
                <w:rFonts w:hint="default"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3. 拓展实践：利用 VR/AR 场景模拟实训系统，还原设计方案中的互动场景，形成 3 分钟左右的场景演示视频与 200 字左右的实操心得。</w:t>
            </w:r>
          </w:p>
        </w:tc>
        <w:tc>
          <w:tcPr>
            <w:tcW w:w="3817" w:type="dxa"/>
            <w:noWrap w:val="0"/>
            <w:vAlign w:val="top"/>
          </w:tcPr>
          <w:p w14:paraId="2C2335D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布置作业</w:t>
            </w:r>
            <w:r>
              <w:rPr>
                <w:rFonts w:hint="eastAsia" w:ascii="仿宋" w:hAnsi="仿宋" w:eastAsia="仿宋" w:cs="仿宋"/>
                <w:color w:val="000000"/>
                <w:kern w:val="0"/>
                <w:sz w:val="21"/>
                <w:szCs w:val="21"/>
                <w:lang w:val="en-US" w:eastAsia="zh-CN" w:bidi="ar"/>
              </w:rPr>
              <w:t>】</w:t>
            </w:r>
            <w:r>
              <w:rPr>
                <w:rFonts w:hint="eastAsia" w:ascii="仿宋" w:hAnsi="仿宋" w:eastAsia="仿宋" w:cs="仿宋"/>
                <w:i w:val="0"/>
                <w:iCs w:val="0"/>
                <w:caps w:val="0"/>
                <w:color w:val="0F1115"/>
                <w:spacing w:val="0"/>
                <w:sz w:val="21"/>
                <w:szCs w:val="21"/>
                <w:shd w:val="clear" w:fill="FFFFFF"/>
              </w:rPr>
              <w:br w:type="textWrapping"/>
            </w:r>
            <w:r>
              <w:rPr>
                <w:rFonts w:hint="eastAsia" w:ascii="仿宋" w:hAnsi="仿宋" w:eastAsia="仿宋" w:cs="仿宋"/>
                <w:color w:val="000000"/>
                <w:kern w:val="0"/>
                <w:sz w:val="21"/>
                <w:szCs w:val="21"/>
                <w:lang w:val="en-US" w:eastAsia="zh-CN" w:bidi="ar"/>
              </w:rPr>
              <w:t>1. 通过学习平台发布、评价课后作业，收集学生学习反思，反思此次教学任务；</w:t>
            </w:r>
          </w:p>
          <w:p w14:paraId="7BC1CF9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在线讨论：“绿色零售趋势下，门店内部场景设计如何融入环保理念？”；</w:t>
            </w:r>
          </w:p>
          <w:p w14:paraId="2D07AB2B">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【组织实训】</w:t>
            </w:r>
          </w:p>
          <w:p w14:paraId="59BA344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开放 VR/AR 场景模拟实训系统权限，提供场景演示视频制作指南；</w:t>
            </w:r>
          </w:p>
          <w:p w14:paraId="39629CC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组织学生对实训视频与优化后的方案进行线上交流与分享；</w:t>
            </w:r>
          </w:p>
          <w:p w14:paraId="7C47848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【教师评价】</w:t>
            </w:r>
            <w:r>
              <w:rPr>
                <w:rFonts w:hint="eastAsia" w:ascii="仿宋" w:hAnsi="仿宋" w:eastAsia="仿宋" w:cs="仿宋"/>
                <w:color w:val="000000"/>
                <w:kern w:val="0"/>
                <w:sz w:val="21"/>
                <w:szCs w:val="21"/>
                <w:lang w:val="en-US" w:eastAsia="zh-CN" w:bidi="ar"/>
              </w:rPr>
              <w:t>教师对学生课堂表现、作业成果、实训实操进行综合评价，利用智慧平台进行 AI 辅助评价，结合双师意见给出最终评分。</w:t>
            </w:r>
          </w:p>
        </w:tc>
        <w:tc>
          <w:tcPr>
            <w:tcW w:w="2892" w:type="dxa"/>
            <w:noWrap w:val="0"/>
            <w:vAlign w:val="top"/>
          </w:tcPr>
          <w:p w14:paraId="4EC56F9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完成作业</w:t>
            </w:r>
            <w:r>
              <w:rPr>
                <w:rFonts w:hint="eastAsia" w:ascii="仿宋" w:hAnsi="仿宋" w:eastAsia="仿宋" w:cs="仿宋"/>
                <w:color w:val="000000"/>
                <w:kern w:val="0"/>
                <w:sz w:val="21"/>
                <w:szCs w:val="21"/>
                <w:lang w:val="en-US" w:eastAsia="zh-CN" w:bidi="ar"/>
              </w:rPr>
              <w:t>】完成线上课后测验、撰写学习反思，按时提交最终版方案，结合绿色零售理念优化环保设计；</w:t>
            </w:r>
          </w:p>
          <w:p w14:paraId="255C492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【课后实践】</w:t>
            </w:r>
          </w:p>
          <w:p w14:paraId="29BFB48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利用 VR/AR 场景模拟实训系统还原互动场景，制作演示视频，记录实操过程与心得；</w:t>
            </w:r>
          </w:p>
          <w:p w14:paraId="4081A52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参与线上讨论，分享对绿色零售场景设计的思考与见解；</w:t>
            </w:r>
          </w:p>
          <w:p w14:paraId="0C87B2B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【学生互评】</w:t>
            </w:r>
            <w:r>
              <w:rPr>
                <w:rFonts w:hint="eastAsia" w:ascii="仿宋" w:hAnsi="仿宋" w:eastAsia="仿宋" w:cs="仿宋"/>
                <w:color w:val="000000"/>
                <w:kern w:val="0"/>
                <w:sz w:val="21"/>
                <w:szCs w:val="21"/>
                <w:lang w:val="en-US" w:eastAsia="zh-CN" w:bidi="ar"/>
              </w:rPr>
              <w:t>学生在平台上对彼此的实训视频、优化后方案进行互相评价与交流。</w:t>
            </w:r>
          </w:p>
        </w:tc>
        <w:tc>
          <w:tcPr>
            <w:tcW w:w="3150" w:type="dxa"/>
            <w:noWrap w:val="0"/>
            <w:vAlign w:val="top"/>
          </w:tcPr>
          <w:p w14:paraId="0A2816F9">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b w:val="0"/>
                <w:bCs w:val="0"/>
                <w:color w:val="000000"/>
                <w:kern w:val="0"/>
                <w:sz w:val="21"/>
                <w:szCs w:val="21"/>
                <w:lang w:val="en-US" w:eastAsia="zh-CN" w:bidi="ar"/>
              </w:rPr>
              <w:t>拓展学生能力，引导学生在 “做中学、学中思、思中悟”，实现知行合一；巩固课堂学习成果，提升学生的 VR/AR 技术应用能力与绿色设计意识，培养学生关注行业趋势的习惯。</w:t>
            </w:r>
          </w:p>
          <w:p w14:paraId="19E1FE5F">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55352A86">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绿色环保：通过线上讨论与方案优化，培养学生绿色低碳的场景设计理念，践行可持续发展的行业责任；</w:t>
            </w:r>
          </w:p>
          <w:p w14:paraId="3D12DE18">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实践精神：通过 VR/AR 场景模拟实操，让学生深化理论联系实际的实践精神，提升场景设计的实际落地能力；</w:t>
            </w:r>
          </w:p>
          <w:p w14:paraId="5F834A68">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创新思维：通过绿色设计优化与场景演示，培养学生不断创新、持续提升的学习与职业素养。</w:t>
            </w:r>
          </w:p>
        </w:tc>
      </w:tr>
      <w:tr w14:paraId="206FC285">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center"/>
          </w:tcPr>
          <w:p w14:paraId="7D940B39">
            <w:pPr>
              <w:spacing w:line="360" w:lineRule="exact"/>
              <w:jc w:val="center"/>
              <w:rPr>
                <w:rFonts w:hint="default"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教学反思</w:t>
            </w:r>
          </w:p>
        </w:tc>
      </w:tr>
      <w:tr w14:paraId="56058778">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noWrap w:val="0"/>
            <w:vAlign w:val="center"/>
          </w:tcPr>
          <w:p w14:paraId="629B7DF3">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一、教学效果</w:t>
            </w:r>
          </w:p>
          <w:p w14:paraId="568A1DAB">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案例驱动与虚拟仿真的教学方式有效激发了学生的学习主动性，场景设计方案撰写与 VR/AR 实操的结合提升了教学效果。通过本节课程的学习，学生在以下几个方面有了显著效果：（1）知识技能：从学生提交的方案与实训视频来看，85% 以上的学生能准确掌握卖场规划的核心内容与场景设计的方法，能结合校办企业实际选择适配的布局类型、互动场景与技术应用，场景设计与 O2O 联动能力得到显著提升；（2）职业素养：在方案设计与实训实操中，学生普遍体现出清晰的创新设计思维、以人为本理念与技术赋能意识，团队协作能力、表达沟通能力得到锻炼，实现了思政教育的 “盐溶于水”、职业素养内化于心；（3）学习成果丰硕：产生了多份贴合校办企业实际、布局科学、体验优质、可落地的场景搭建方案，学生的 VR/AR 技术应用能力与绿色设计意识显著增强。</w:t>
            </w:r>
          </w:p>
          <w:p w14:paraId="6C019BBB">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二、存在问题与改进建议</w:t>
            </w:r>
          </w:p>
          <w:p w14:paraId="423FA83F">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 存在的问题：</w:t>
            </w:r>
          </w:p>
          <w:p w14:paraId="1C2EE3B3">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（1）学生方面：部分学生对磁石理论的实际应用不够精准，货位规划与客群购物习惯的贴合度不足；少数学生的互动场景设计缺乏创新性，与门店业态的适配性不强；个别学生对 VR/AR 技术的操作不够熟练，场景演示视频的效果有待提升。</w:t>
            </w:r>
          </w:p>
          <w:p w14:paraId="1072A13E">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（2）教师方面：课堂时间有限，对学生的方案设计与 VR/AR 实操的个性化指导不足；智慧教学平台的 VR/AR 场景模拟资源不够丰富，部分技术应用的模拟内容有待补充；思政元素与场景设计各环节的融合点可进一步细化。</w:t>
            </w:r>
          </w:p>
          <w:p w14:paraId="1F679803">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 建议：</w:t>
            </w:r>
          </w:p>
          <w:p w14:paraId="368C801C">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（1）开展场景设计方案一对一指导与小组沙龙，帮助学生完善布局与互动场景设计，强化磁石理论应用与创新思维；开设 VR/AR 技术实操工作坊，通过模拟实训系统与真实设备操作结合，提升学生的技术应用能力；组织校园门店场景设计实践项目，让学生将方案落地到实际改造中，积累实战经验。</w:t>
            </w:r>
          </w:p>
          <w:p w14:paraId="6A637D5D">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（2）需建设更完善的 “零售门店场景设计案例库” 与 “绿色场景思政元素地图”，将以人为本、绿色环保等思政元素融入场景设计的具体环节；优化课堂时间分配，增加方案设计与实操的个性化指导时间；丰富线上教学资源，补充更多业态的场景模拟内容，增加企业导师场景设计实操答疑环节，提升资源的实用性与互动性。</w:t>
            </w:r>
            <w:bookmarkStart w:id="0" w:name="_GoBack"/>
            <w:bookmarkEnd w:id="0"/>
          </w:p>
        </w:tc>
      </w:tr>
    </w:tbl>
    <w:p w14:paraId="104648D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B188D"/>
    <w:rsid w:val="0E8C2C83"/>
    <w:rsid w:val="22BD0D1C"/>
    <w:rsid w:val="371D77C7"/>
    <w:rsid w:val="3D1D0C51"/>
    <w:rsid w:val="449A491B"/>
    <w:rsid w:val="58E6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 w:type="paragraph" w:customStyle="1" w:styleId="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8086</Words>
  <Characters>8240</Characters>
  <Lines>0</Lines>
  <Paragraphs>0</Paragraphs>
  <TotalTime>32</TotalTime>
  <ScaleCrop>false</ScaleCrop>
  <LinksUpToDate>false</LinksUpToDate>
  <CharactersWithSpaces>8434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2026-03-05T10:49:00Z</dcterms:created>
  <dc:creator>Administrator</dc:creator>
  <cp:lastModifiedBy>锦</cp:lastModifiedBy>
  <dcterms:modified xsi:type="dcterms:W3CDTF">2026-03-06T07:31:01Z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eyJoZGlkIjoiZWMwNTQ5ZDQzNmE1YzJmOGQ0ZTEwMDc3OTFjYWE1MzEiLCJ1c2VySWQiOiIyMzY4NzkzODYifQ==</vt:lpwstr>
  </property>
  <property fmtid="{D5CDD505-2E9C-101B-9397-08002B2CF9AE}" pid="4" name="ICV">
    <vt:lpwstr>D0A3D9F50BD84E25AE745B93745C1320_13</vt:lpwstr>
  </property>
</Properties>
</file>