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2136"/>
        <w:gridCol w:w="2069"/>
        <w:gridCol w:w="1392"/>
        <w:gridCol w:w="3571"/>
        <w:gridCol w:w="1738"/>
        <w:gridCol w:w="1867"/>
      </w:tblGrid>
      <w:tr w14:paraId="3A2C8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4010" w:type="dxa"/>
            <w:gridSpan w:val="7"/>
            <w:tcBorders>
              <w:tl2br w:val="nil"/>
              <w:tr2bl w:val="nil"/>
            </w:tcBorders>
            <w:shd w:val="clear" w:color="auto" w:fill="0070C0"/>
            <w:noWrap w:val="0"/>
            <w:vAlign w:val="center"/>
          </w:tcPr>
          <w:p w14:paraId="25E75E11">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FFFFFF"/>
                <w:kern w:val="0"/>
                <w:sz w:val="36"/>
                <w:szCs w:val="36"/>
                <w:shd w:val="clear" w:color="auto" w:fill="FFFFFF"/>
                <w:lang w:bidi="he-IL"/>
              </w:rPr>
              <w:t>一、教学基本情况</w:t>
            </w:r>
          </w:p>
        </w:tc>
      </w:tr>
      <w:tr w14:paraId="1328A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237" w:type="dxa"/>
            <w:tcBorders>
              <w:tl2br w:val="nil"/>
              <w:tr2bl w:val="nil"/>
            </w:tcBorders>
            <w:shd w:val="clear" w:color="auto" w:fill="B8CCE4"/>
            <w:noWrap w:val="0"/>
            <w:vAlign w:val="center"/>
          </w:tcPr>
          <w:p w14:paraId="7AE2E0A0">
            <w:pPr>
              <w:spacing w:before="16"/>
              <w:ind w:right="-50"/>
              <w:jc w:val="left"/>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授课单元</w:t>
            </w:r>
          </w:p>
        </w:tc>
        <w:tc>
          <w:tcPr>
            <w:tcW w:w="4205" w:type="dxa"/>
            <w:gridSpan w:val="2"/>
            <w:tcBorders>
              <w:right w:val="single" w:color="auto" w:sz="4" w:space="0"/>
              <w:tl2br w:val="nil"/>
              <w:tr2bl w:val="nil"/>
            </w:tcBorders>
            <w:shd w:val="clear" w:color="auto" w:fill="auto"/>
            <w:noWrap w:val="0"/>
            <w:vAlign w:val="center"/>
          </w:tcPr>
          <w:p w14:paraId="6BF67856">
            <w:pPr>
              <w:spacing w:before="16"/>
              <w:ind w:right="-50"/>
              <w:jc w:val="center"/>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模块三  零售门店商品规划与运营</w:t>
            </w:r>
          </w:p>
        </w:tc>
        <w:tc>
          <w:tcPr>
            <w:tcW w:w="1392" w:type="dxa"/>
            <w:tcBorders>
              <w:left w:val="single" w:color="auto" w:sz="4" w:space="0"/>
              <w:right w:val="single" w:color="auto" w:sz="4" w:space="0"/>
              <w:tl2br w:val="nil"/>
              <w:tr2bl w:val="nil"/>
            </w:tcBorders>
            <w:shd w:val="clear" w:color="auto" w:fill="B8CCE4"/>
            <w:noWrap w:val="0"/>
            <w:vAlign w:val="center"/>
          </w:tcPr>
          <w:p w14:paraId="031E781F">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授课班级</w:t>
            </w:r>
          </w:p>
        </w:tc>
        <w:tc>
          <w:tcPr>
            <w:tcW w:w="3571" w:type="dxa"/>
            <w:tcBorders>
              <w:left w:val="single" w:color="auto" w:sz="4" w:space="0"/>
              <w:right w:val="single" w:color="auto" w:sz="4" w:space="0"/>
              <w:tl2br w:val="nil"/>
              <w:tr2bl w:val="nil"/>
            </w:tcBorders>
            <w:shd w:val="clear" w:color="auto" w:fill="FFFFFF"/>
            <w:noWrap w:val="0"/>
            <w:vAlign w:val="center"/>
          </w:tcPr>
          <w:p w14:paraId="0AF0FEBC">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202</w:t>
            </w:r>
            <w:r>
              <w:rPr>
                <w:rFonts w:hint="eastAsia" w:ascii="微软雅黑" w:hAnsi="微软雅黑" w:eastAsia="微软雅黑" w:cs="微软雅黑"/>
                <w:b/>
                <w:bCs/>
                <w:color w:val="333333"/>
                <w:kern w:val="0"/>
                <w:sz w:val="24"/>
                <w:lang w:val="en-US" w:eastAsia="zh-CN" w:bidi="he-IL"/>
              </w:rPr>
              <w:t>4</w:t>
            </w:r>
            <w:r>
              <w:rPr>
                <w:rFonts w:hint="eastAsia" w:ascii="微软雅黑" w:hAnsi="微软雅黑" w:eastAsia="微软雅黑" w:cs="微软雅黑"/>
                <w:b/>
                <w:bCs/>
                <w:color w:val="333333"/>
                <w:kern w:val="0"/>
                <w:sz w:val="24"/>
                <w:lang w:bidi="he-IL"/>
              </w:rPr>
              <w:t>级</w:t>
            </w:r>
            <w:r>
              <w:rPr>
                <w:rFonts w:hint="eastAsia" w:ascii="微软雅黑" w:hAnsi="微软雅黑" w:eastAsia="微软雅黑" w:cs="微软雅黑"/>
                <w:b/>
                <w:bCs/>
                <w:color w:val="333333"/>
                <w:kern w:val="0"/>
                <w:sz w:val="24"/>
                <w:lang w:val="en-US" w:eastAsia="zh-CN" w:bidi="he-IL"/>
              </w:rPr>
              <w:t>电子商务专业</w:t>
            </w:r>
          </w:p>
        </w:tc>
        <w:tc>
          <w:tcPr>
            <w:tcW w:w="1738" w:type="dxa"/>
            <w:tcBorders>
              <w:left w:val="single" w:color="auto" w:sz="4" w:space="0"/>
              <w:right w:val="single" w:color="auto" w:sz="4" w:space="0"/>
              <w:tl2br w:val="nil"/>
              <w:tr2bl w:val="nil"/>
            </w:tcBorders>
            <w:shd w:val="clear" w:color="auto" w:fill="B8CCE4"/>
            <w:noWrap w:val="0"/>
            <w:vAlign w:val="top"/>
          </w:tcPr>
          <w:p w14:paraId="44833343">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授课形式</w:t>
            </w:r>
          </w:p>
        </w:tc>
        <w:tc>
          <w:tcPr>
            <w:tcW w:w="1867" w:type="dxa"/>
            <w:tcBorders>
              <w:left w:val="single" w:color="auto" w:sz="4" w:space="0"/>
              <w:tl2br w:val="nil"/>
              <w:tr2bl w:val="nil"/>
            </w:tcBorders>
            <w:noWrap w:val="0"/>
            <w:vAlign w:val="top"/>
          </w:tcPr>
          <w:p w14:paraId="165F90D9">
            <w:pPr>
              <w:spacing w:before="16"/>
              <w:ind w:right="-50"/>
              <w:jc w:val="center"/>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线上线下结合</w:t>
            </w:r>
          </w:p>
        </w:tc>
      </w:tr>
      <w:tr w14:paraId="49EC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237" w:type="dxa"/>
            <w:tcBorders>
              <w:tl2br w:val="nil"/>
              <w:tr2bl w:val="nil"/>
            </w:tcBorders>
            <w:shd w:val="clear" w:color="auto" w:fill="B8CCE4"/>
            <w:noWrap w:val="0"/>
            <w:vAlign w:val="center"/>
          </w:tcPr>
          <w:p w14:paraId="62BC42E2">
            <w:pPr>
              <w:spacing w:before="16"/>
              <w:ind w:right="-50" w:rightChars="0"/>
              <w:jc w:val="left"/>
              <w:rPr>
                <w:rFonts w:hint="eastAsia" w:ascii="微软雅黑" w:hAnsi="微软雅黑" w:eastAsia="微软雅黑" w:cs="微软雅黑"/>
                <w:b/>
                <w:bCs/>
                <w:color w:val="333333"/>
                <w:kern w:val="0"/>
                <w:sz w:val="24"/>
                <w:szCs w:val="24"/>
                <w:lang w:val="en-US" w:eastAsia="zh-CN" w:bidi="he-IL"/>
              </w:rPr>
            </w:pPr>
            <w:r>
              <w:rPr>
                <w:rFonts w:hint="eastAsia" w:ascii="微软雅黑" w:hAnsi="微软雅黑" w:eastAsia="微软雅黑" w:cs="微软雅黑"/>
                <w:b/>
                <w:bCs/>
                <w:color w:val="333333"/>
                <w:kern w:val="0"/>
                <w:sz w:val="24"/>
                <w:lang w:eastAsia="zh-CN" w:bidi="he-IL"/>
              </w:rPr>
              <w:t>任务</w:t>
            </w:r>
            <w:r>
              <w:rPr>
                <w:rFonts w:hint="eastAsia" w:ascii="微软雅黑" w:hAnsi="微软雅黑" w:eastAsia="微软雅黑" w:cs="微软雅黑"/>
                <w:b/>
                <w:bCs/>
                <w:color w:val="333333"/>
                <w:kern w:val="0"/>
                <w:sz w:val="24"/>
                <w:lang w:bidi="he-IL"/>
              </w:rPr>
              <w:t>名称</w:t>
            </w:r>
          </w:p>
        </w:tc>
        <w:tc>
          <w:tcPr>
            <w:tcW w:w="4205" w:type="dxa"/>
            <w:gridSpan w:val="2"/>
            <w:tcBorders>
              <w:right w:val="single" w:color="auto" w:sz="4" w:space="0"/>
              <w:tl2br w:val="nil"/>
              <w:tr2bl w:val="nil"/>
            </w:tcBorders>
            <w:shd w:val="clear" w:color="auto" w:fill="auto"/>
            <w:noWrap w:val="0"/>
            <w:vAlign w:val="center"/>
          </w:tcPr>
          <w:p w14:paraId="794FEAF2">
            <w:pPr>
              <w:spacing w:before="16"/>
              <w:ind w:right="-50" w:rightChars="0"/>
              <w:jc w:val="center"/>
              <w:rPr>
                <w:rFonts w:hint="default" w:ascii="微软雅黑" w:hAnsi="微软雅黑" w:eastAsia="微软雅黑" w:cs="微软雅黑"/>
                <w:b/>
                <w:bCs/>
                <w:color w:val="333333"/>
                <w:kern w:val="0"/>
                <w:sz w:val="24"/>
                <w:szCs w:val="24"/>
                <w:lang w:val="en-US" w:eastAsia="zh-CN" w:bidi="he-IL"/>
              </w:rPr>
            </w:pPr>
            <w:r>
              <w:rPr>
                <w:rFonts w:hint="eastAsia" w:ascii="微软雅黑" w:hAnsi="微软雅黑" w:eastAsia="微软雅黑" w:cs="微软雅黑"/>
                <w:b/>
                <w:bCs/>
                <w:color w:val="333333"/>
                <w:kern w:val="0"/>
                <w:sz w:val="24"/>
                <w:lang w:val="en-US" w:eastAsia="zh-CN" w:bidi="he-IL"/>
              </w:rPr>
              <w:t>任务3.1分析商品运营数据</w:t>
            </w:r>
          </w:p>
        </w:tc>
        <w:tc>
          <w:tcPr>
            <w:tcW w:w="1392" w:type="dxa"/>
            <w:tcBorders>
              <w:left w:val="single" w:color="auto" w:sz="4" w:space="0"/>
              <w:right w:val="single" w:color="auto" w:sz="4" w:space="0"/>
              <w:tl2br w:val="nil"/>
              <w:tr2bl w:val="nil"/>
            </w:tcBorders>
            <w:shd w:val="clear" w:color="auto" w:fill="B8CCE4"/>
            <w:noWrap w:val="0"/>
            <w:vAlign w:val="center"/>
          </w:tcPr>
          <w:p w14:paraId="23E93E74">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授课地点</w:t>
            </w:r>
          </w:p>
        </w:tc>
        <w:tc>
          <w:tcPr>
            <w:tcW w:w="3571" w:type="dxa"/>
            <w:tcBorders>
              <w:left w:val="single" w:color="auto" w:sz="4" w:space="0"/>
              <w:right w:val="single" w:color="auto" w:sz="4" w:space="0"/>
              <w:tl2br w:val="nil"/>
              <w:tr2bl w:val="nil"/>
            </w:tcBorders>
            <w:shd w:val="clear" w:color="auto" w:fill="FFFFFF"/>
            <w:noWrap w:val="0"/>
            <w:vAlign w:val="center"/>
          </w:tcPr>
          <w:p w14:paraId="07CA6208">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实训室</w:t>
            </w:r>
          </w:p>
        </w:tc>
        <w:tc>
          <w:tcPr>
            <w:tcW w:w="1738" w:type="dxa"/>
            <w:tcBorders>
              <w:left w:val="single" w:color="auto" w:sz="4" w:space="0"/>
              <w:right w:val="single" w:color="auto" w:sz="4" w:space="0"/>
              <w:tl2br w:val="nil"/>
              <w:tr2bl w:val="nil"/>
            </w:tcBorders>
            <w:shd w:val="clear" w:color="auto" w:fill="B8CCE4"/>
            <w:noWrap w:val="0"/>
            <w:vAlign w:val="top"/>
          </w:tcPr>
          <w:p w14:paraId="2EC89CC6">
            <w:pPr>
              <w:spacing w:before="16"/>
              <w:ind w:right="-50" w:rightChars="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bidi="he-IL"/>
              </w:rPr>
              <w:t>课时数</w:t>
            </w:r>
          </w:p>
        </w:tc>
        <w:tc>
          <w:tcPr>
            <w:tcW w:w="1867" w:type="dxa"/>
            <w:tcBorders>
              <w:left w:val="single" w:color="auto" w:sz="4" w:space="0"/>
              <w:tl2br w:val="nil"/>
              <w:tr2bl w:val="nil"/>
            </w:tcBorders>
            <w:noWrap w:val="0"/>
            <w:vAlign w:val="top"/>
          </w:tcPr>
          <w:p w14:paraId="2995E3A2">
            <w:pPr>
              <w:spacing w:before="16"/>
              <w:ind w:right="-50" w:rightChars="0"/>
              <w:jc w:val="center"/>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2</w:t>
            </w:r>
          </w:p>
        </w:tc>
      </w:tr>
      <w:tr w14:paraId="648DA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0" w:hRule="atLeast"/>
        </w:trPr>
        <w:tc>
          <w:tcPr>
            <w:tcW w:w="1237" w:type="dxa"/>
            <w:tcBorders>
              <w:bottom w:val="single" w:color="auto" w:sz="4" w:space="0"/>
              <w:tl2br w:val="nil"/>
              <w:tr2bl w:val="nil"/>
            </w:tcBorders>
            <w:shd w:val="clear" w:color="auto" w:fill="B8CCE4"/>
            <w:noWrap w:val="0"/>
            <w:vAlign w:val="center"/>
          </w:tcPr>
          <w:p w14:paraId="0858828E">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学情分析</w:t>
            </w:r>
          </w:p>
        </w:tc>
        <w:tc>
          <w:tcPr>
            <w:tcW w:w="12773" w:type="dxa"/>
            <w:gridSpan w:val="6"/>
            <w:tcBorders>
              <w:bottom w:val="single" w:color="auto" w:sz="4" w:space="0"/>
              <w:tl2br w:val="nil"/>
              <w:tr2bl w:val="nil"/>
            </w:tcBorders>
            <w:noWrap w:val="0"/>
            <w:vAlign w:val="center"/>
          </w:tcPr>
          <w:p w14:paraId="4DBEDEBE">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 知识与技能：已学习 O2O 运营生态搭建、线上渠道布局、门店场景设计等核心知识，掌握新零售与 O2O 运营基础理论，具备基础的 Excel 数据处理能力和门店调研经验，对商品运营有初步认知，但缺乏系统的商品数据（定价、结构、利润）分析实操能力，未掌握 O2O 跨渠道数据协同分析方法。</w:t>
            </w:r>
          </w:p>
          <w:p w14:paraId="5AAE57A0">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 认知与实践：逻辑分析能力较弱，抽象思维不足，对数据敏感度过低，无法将商品运营数据与 O2O 业务决策有效关联，缺乏运用销售漏斗模型、利润计算公式解决 O2O 场景下实际运营问题的能力，对跨渠道定价、全链路利润核算的实际应用掌握不足。</w:t>
            </w:r>
          </w:p>
          <w:p w14:paraId="073EC8C8">
            <w:pPr>
              <w:numPr>
                <w:ilvl w:val="0"/>
                <w:numId w:val="0"/>
              </w:numPr>
              <w:spacing w:before="16"/>
              <w:ind w:right="-50" w:rightChars="0"/>
              <w:jc w:val="left"/>
              <w:rPr>
                <w:rFonts w:hint="eastAsia" w:ascii="微软雅黑" w:hAnsi="微软雅黑" w:eastAsia="微软雅黑" w:cs="微软雅黑"/>
                <w:color w:val="333333"/>
                <w:kern w:val="0"/>
                <w:sz w:val="24"/>
                <w:lang w:bidi="he-IL"/>
              </w:rPr>
            </w:pPr>
            <w:r>
              <w:rPr>
                <w:rFonts w:hint="eastAsia" w:ascii="微软雅黑" w:hAnsi="微软雅黑" w:eastAsia="微软雅黑" w:cs="微软雅黑"/>
                <w:color w:val="333333"/>
                <w:kern w:val="0"/>
                <w:sz w:val="24"/>
                <w:lang w:val="en-US" w:eastAsia="zh-CN" w:bidi="he-IL"/>
              </w:rPr>
              <w:t>3 学习特点：善用智能终端获取知识，对数据可视化、实操计算类任务兴趣较高；动手能力强，但独立分析复杂数据、提炼 O2O 场景优化建议的能力不足；对数据驱动 O2O 业务优化的实际价值认知不够深入。</w:t>
            </w:r>
          </w:p>
        </w:tc>
      </w:tr>
      <w:tr w14:paraId="50AA2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237" w:type="dxa"/>
            <w:vMerge w:val="restart"/>
            <w:tcBorders>
              <w:top w:val="single" w:color="auto" w:sz="4" w:space="0"/>
              <w:bottom w:val="single" w:color="auto" w:sz="4" w:space="0"/>
              <w:tl2br w:val="nil"/>
              <w:tr2bl w:val="nil"/>
            </w:tcBorders>
            <w:shd w:val="clear" w:color="auto" w:fill="B8CCE4"/>
            <w:noWrap w:val="0"/>
            <w:vAlign w:val="center"/>
          </w:tcPr>
          <w:p w14:paraId="6A2693DB">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教学目标</w:t>
            </w:r>
          </w:p>
        </w:tc>
        <w:tc>
          <w:tcPr>
            <w:tcW w:w="2136" w:type="dxa"/>
            <w:tcBorders>
              <w:top w:val="single" w:color="auto" w:sz="4" w:space="0"/>
              <w:bottom w:val="single" w:color="auto" w:sz="4" w:space="0"/>
              <w:tl2br w:val="nil"/>
              <w:tr2bl w:val="nil"/>
            </w:tcBorders>
            <w:noWrap w:val="0"/>
            <w:vAlign w:val="center"/>
          </w:tcPr>
          <w:p w14:paraId="3778009D">
            <w:pPr>
              <w:spacing w:before="16"/>
              <w:ind w:right="-50"/>
              <w:jc w:val="center"/>
              <w:rPr>
                <w:rFonts w:ascii="微软雅黑" w:hAnsi="微软雅黑" w:eastAsia="微软雅黑" w:cs="微软雅黑"/>
                <w:b/>
                <w:bCs/>
                <w:color w:val="333333"/>
                <w:kern w:val="0"/>
                <w:szCs w:val="21"/>
                <w:lang w:bidi="he-IL"/>
              </w:rPr>
            </w:pPr>
            <w:r>
              <w:rPr>
                <w:rFonts w:hint="eastAsia" w:ascii="微软雅黑" w:hAnsi="微软雅黑" w:eastAsia="微软雅黑" w:cs="微软雅黑"/>
                <w:b/>
                <w:bCs/>
                <w:color w:val="333333"/>
                <w:kern w:val="0"/>
                <w:szCs w:val="21"/>
                <w:lang w:bidi="he-IL"/>
              </w:rPr>
              <w:t>知识目标</w:t>
            </w:r>
          </w:p>
        </w:tc>
        <w:tc>
          <w:tcPr>
            <w:tcW w:w="10637" w:type="dxa"/>
            <w:gridSpan w:val="5"/>
            <w:tcBorders>
              <w:top w:val="single" w:color="auto" w:sz="4" w:space="0"/>
              <w:bottom w:val="single" w:color="auto" w:sz="4" w:space="0"/>
              <w:tl2br w:val="nil"/>
              <w:tr2bl w:val="nil"/>
            </w:tcBorders>
            <w:noWrap w:val="0"/>
            <w:vAlign w:val="center"/>
          </w:tcPr>
          <w:p w14:paraId="20E6B55D">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1. 了解商品定价的四大影响因素（成本基础、市场需求与竞争、消费者认知与心理、战略目标与外部环境），掌握成本加成、竞争、撇脂、渗透四种核心定价方法，掌握 O2O 跨渠道定价协同逻辑（如线上引流价与线下利润价的平衡）；</w:t>
            </w:r>
          </w:p>
          <w:p w14:paraId="7950BFAD">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2. 理解商品结构的含义与分类，掌握引流、日常、活动、利润、形象五大商品矩阵的定位与特点，掌握 O2O 场景下商品结构互补策略（如线上引流商品与线下体验商品的组合）；</w:t>
            </w:r>
          </w:p>
          <w:p w14:paraId="7BCDB7DD">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3. 掌握销售漏斗模型的六大核心环节（曝光、点击、咨询、下单、支付、复购），掌握 O2O 全链路销售漏斗（线上曝光→点击→线下到店→咨询→下单→复购）的转化逻辑；</w:t>
            </w:r>
          </w:p>
          <w:p w14:paraId="0C76741F">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4. 熟悉利润分析的核心指标（毛利润、毛利率、运营利润、净利润），掌握订单级与产品级利润的计算方法，掌握 O2O 场景下特殊成本（平台佣金、自提履约费、配送费）与跨渠道利润分摊规则；</w:t>
            </w:r>
          </w:p>
          <w:p w14:paraId="5B578017">
            <w:pPr>
              <w:numPr>
                <w:ilvl w:val="0"/>
                <w:numId w:val="0"/>
              </w:numPr>
              <w:spacing w:before="16"/>
              <w:ind w:right="-50" w:rightChars="0"/>
              <w:jc w:val="left"/>
              <w:rPr>
                <w:rFonts w:ascii="微软雅黑" w:hAnsi="微软雅黑" w:eastAsia="微软雅黑" w:cs="微软雅黑"/>
                <w:color w:val="333333"/>
                <w:kern w:val="0"/>
                <w:sz w:val="24"/>
                <w:lang w:bidi="he-IL"/>
              </w:rPr>
            </w:pPr>
            <w:r>
              <w:rPr>
                <w:rFonts w:hint="eastAsia" w:ascii="微软雅黑" w:hAnsi="微软雅黑" w:eastAsia="微软雅黑" w:cs="微软雅黑"/>
                <w:b w:val="0"/>
                <w:bCs w:val="0"/>
                <w:color w:val="333333"/>
                <w:kern w:val="0"/>
                <w:sz w:val="24"/>
                <w:szCs w:val="24"/>
                <w:lang w:val="en-US" w:eastAsia="zh-CN" w:bidi="he-IL"/>
              </w:rPr>
              <w:t>5. 了解新零售数据分析工具（Excel 高级功能、BI 可视化）的基础应用，熟悉 O2O 多渠道数据整合的基本思路。</w:t>
            </w:r>
          </w:p>
        </w:tc>
      </w:tr>
      <w:tr w14:paraId="36419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237" w:type="dxa"/>
            <w:vMerge w:val="continue"/>
            <w:tcBorders>
              <w:top w:val="single" w:color="auto" w:sz="4" w:space="0"/>
              <w:bottom w:val="single" w:color="auto" w:sz="4" w:space="0"/>
              <w:tl2br w:val="nil"/>
              <w:tr2bl w:val="nil"/>
            </w:tcBorders>
            <w:shd w:val="clear" w:color="auto" w:fill="B8CCE4"/>
            <w:noWrap w:val="0"/>
            <w:vAlign w:val="center"/>
          </w:tcPr>
          <w:p w14:paraId="3ABD89D7">
            <w:pPr>
              <w:spacing w:before="16"/>
              <w:ind w:right="-50"/>
              <w:jc w:val="left"/>
              <w:rPr>
                <w:rFonts w:ascii="微软雅黑" w:hAnsi="微软雅黑" w:eastAsia="微软雅黑" w:cs="微软雅黑"/>
                <w:b/>
                <w:bCs/>
                <w:color w:val="333333"/>
                <w:kern w:val="0"/>
                <w:sz w:val="24"/>
                <w:lang w:bidi="he-IL"/>
              </w:rPr>
            </w:pPr>
          </w:p>
        </w:tc>
        <w:tc>
          <w:tcPr>
            <w:tcW w:w="2136" w:type="dxa"/>
            <w:tcBorders>
              <w:top w:val="single" w:color="auto" w:sz="4" w:space="0"/>
              <w:bottom w:val="single" w:color="auto" w:sz="4" w:space="0"/>
              <w:tl2br w:val="nil"/>
              <w:tr2bl w:val="nil"/>
            </w:tcBorders>
            <w:noWrap w:val="0"/>
            <w:vAlign w:val="center"/>
          </w:tcPr>
          <w:p w14:paraId="097F642B">
            <w:pPr>
              <w:spacing w:before="16"/>
              <w:ind w:right="-50"/>
              <w:jc w:val="center"/>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b/>
                <w:bCs/>
                <w:color w:val="333333"/>
                <w:kern w:val="0"/>
                <w:szCs w:val="21"/>
                <w:lang w:val="en-US" w:eastAsia="zh-CN" w:bidi="he-IL"/>
              </w:rPr>
              <w:t>能力目标</w:t>
            </w:r>
          </w:p>
        </w:tc>
        <w:tc>
          <w:tcPr>
            <w:tcW w:w="10637" w:type="dxa"/>
            <w:gridSpan w:val="5"/>
            <w:tcBorders>
              <w:top w:val="single" w:color="auto" w:sz="4" w:space="0"/>
              <w:bottom w:val="single" w:color="auto" w:sz="4" w:space="0"/>
              <w:tl2br w:val="nil"/>
              <w:tr2bl w:val="nil"/>
            </w:tcBorders>
            <w:noWrap w:val="0"/>
            <w:vAlign w:val="center"/>
          </w:tcPr>
          <w:p w14:paraId="0B9A4577">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1. 能结合 O2O 场景与商品成本、市场竞争、消费心理等因素，选择合适的定价方法，制定线上线下协同的价格方案；</w:t>
            </w:r>
          </w:p>
          <w:p w14:paraId="3186E5ED">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2. 能运用商品结构矩阵分析 O2O 场景下门店现有商品组合的优势与不足，提出跨渠道互补优化建议；</w:t>
            </w:r>
          </w:p>
          <w:p w14:paraId="4AADA8BA">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3. 能解读 O2O 全链路销售漏斗数据，计算各环节转化率，识别跨渠道转化痛点，制定针对性的优化策略；</w:t>
            </w:r>
          </w:p>
          <w:p w14:paraId="01476E33">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4. 能独立完成 O2O 场景下复杂订单（含平台补贴、自提 / 配送、跨渠道核销）的利润核算，识别 “跨渠道虚假繁荣” 的商品或订单，提出全链路利润优化方案；</w:t>
            </w:r>
          </w:p>
          <w:p w14:paraId="55DBFA0C">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5. 能运用 Excel 数据透视表、筛选等高级功能处理 O2O 多渠道数据，具备基础的数据可视化与分析能力。</w:t>
            </w:r>
          </w:p>
        </w:tc>
      </w:tr>
      <w:tr w14:paraId="29A2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op w:val="single" w:color="auto" w:sz="4" w:space="0"/>
              <w:bottom w:val="single" w:color="auto" w:sz="4" w:space="0"/>
              <w:tl2br w:val="nil"/>
              <w:tr2bl w:val="nil"/>
            </w:tcBorders>
            <w:shd w:val="clear" w:color="auto" w:fill="B8CCE4"/>
            <w:noWrap w:val="0"/>
            <w:vAlign w:val="center"/>
          </w:tcPr>
          <w:p w14:paraId="2CAB2365">
            <w:pPr>
              <w:spacing w:before="16"/>
              <w:ind w:right="-50"/>
              <w:jc w:val="left"/>
              <w:rPr>
                <w:rFonts w:ascii="微软雅黑" w:hAnsi="微软雅黑" w:eastAsia="微软雅黑" w:cs="微软雅黑"/>
                <w:b/>
                <w:bCs/>
                <w:color w:val="333333"/>
                <w:kern w:val="0"/>
                <w:sz w:val="24"/>
                <w:lang w:bidi="he-IL"/>
              </w:rPr>
            </w:pPr>
          </w:p>
        </w:tc>
        <w:tc>
          <w:tcPr>
            <w:tcW w:w="2136" w:type="dxa"/>
            <w:tcBorders>
              <w:top w:val="single" w:color="auto" w:sz="4" w:space="0"/>
              <w:bottom w:val="single" w:color="auto" w:sz="4" w:space="0"/>
              <w:tl2br w:val="nil"/>
              <w:tr2bl w:val="nil"/>
            </w:tcBorders>
            <w:noWrap w:val="0"/>
            <w:vAlign w:val="center"/>
          </w:tcPr>
          <w:p w14:paraId="7715E633">
            <w:pPr>
              <w:spacing w:before="16"/>
              <w:ind w:right="-50"/>
              <w:jc w:val="center"/>
              <w:rPr>
                <w:rFonts w:ascii="微软雅黑" w:hAnsi="微软雅黑" w:eastAsia="微软雅黑" w:cs="微软雅黑"/>
                <w:b/>
                <w:bCs/>
                <w:color w:val="333333"/>
                <w:kern w:val="0"/>
                <w:szCs w:val="21"/>
                <w:lang w:bidi="he-IL"/>
              </w:rPr>
            </w:pPr>
            <w:r>
              <w:rPr>
                <w:rFonts w:hint="eastAsia" w:ascii="微软雅黑" w:hAnsi="微软雅黑" w:eastAsia="微软雅黑" w:cs="微软雅黑"/>
                <w:b/>
                <w:bCs/>
                <w:color w:val="333333"/>
                <w:kern w:val="0"/>
                <w:szCs w:val="21"/>
                <w:lang w:val="en-US" w:eastAsia="zh-CN" w:bidi="he-IL"/>
              </w:rPr>
              <w:t>思政</w:t>
            </w:r>
            <w:r>
              <w:rPr>
                <w:rFonts w:hint="eastAsia" w:ascii="微软雅黑" w:hAnsi="微软雅黑" w:eastAsia="微软雅黑" w:cs="微软雅黑"/>
                <w:b/>
                <w:bCs/>
                <w:color w:val="333333"/>
                <w:kern w:val="0"/>
                <w:szCs w:val="21"/>
                <w:lang w:bidi="he-IL"/>
              </w:rPr>
              <w:t>目标</w:t>
            </w:r>
          </w:p>
        </w:tc>
        <w:tc>
          <w:tcPr>
            <w:tcW w:w="10637" w:type="dxa"/>
            <w:gridSpan w:val="5"/>
            <w:tcBorders>
              <w:top w:val="single" w:color="auto" w:sz="4" w:space="0"/>
              <w:bottom w:val="single" w:color="auto" w:sz="4" w:space="0"/>
              <w:tl2br w:val="nil"/>
              <w:tr2bl w:val="nil"/>
            </w:tcBorders>
            <w:noWrap w:val="0"/>
            <w:vAlign w:val="center"/>
          </w:tcPr>
          <w:p w14:paraId="63C21DC0">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1. 培育数据驱动思维：让学生认识到全渠道数据在 O2O 商品运营决策中的核心作用，树立以数据为依据、精准施策的行业运营意识；</w:t>
            </w:r>
          </w:p>
          <w:p w14:paraId="40F61D3E">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2. 强化成本效益意识：通过 O2O 特殊成本核算与跨渠道利润分析，培养学生关注全链路投入产出比、务实经营的职业素养；</w:t>
            </w:r>
          </w:p>
          <w:p w14:paraId="1C085575">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3. 培养逻辑分析能力：通过 O2O 全链路漏斗拆解、利润层层核算，锻炼学生的系统思维与逻辑推理能力，理解复杂业务问题的拆解方法；</w:t>
            </w:r>
          </w:p>
          <w:p w14:paraId="18490ACB">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4. 激发职业责任意识：理解商品运营数据的准确性对 O2O 业务决策的影响，培养严谨细致、求真务实的职业责任，树立价格透明、合规经营的商业伦理；</w:t>
            </w:r>
          </w:p>
          <w:p w14:paraId="7DC67068">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auto"/>
                <w:kern w:val="0"/>
                <w:sz w:val="24"/>
                <w:lang w:val="en-US" w:eastAsia="zh-CN" w:bidi="he-IL"/>
              </w:rPr>
              <w:t>5. 培育绿色运营意识：通过商品结构中低碳环保商品配置、高效履约成本控制，培养学生选择低碳环保商品、降低履约能耗的可持续发展理念。</w:t>
            </w:r>
          </w:p>
        </w:tc>
      </w:tr>
      <w:tr w14:paraId="72880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restart"/>
            <w:tcBorders>
              <w:top w:val="single" w:color="auto" w:sz="4" w:space="0"/>
              <w:tl2br w:val="nil"/>
              <w:tr2bl w:val="nil"/>
            </w:tcBorders>
            <w:shd w:val="clear" w:color="auto" w:fill="B8CCE4"/>
            <w:noWrap w:val="0"/>
            <w:vAlign w:val="center"/>
          </w:tcPr>
          <w:p w14:paraId="1837A496">
            <w:pPr>
              <w:spacing w:before="16"/>
              <w:ind w:right="-50"/>
              <w:jc w:val="left"/>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课程思政</w:t>
            </w:r>
          </w:p>
        </w:tc>
        <w:tc>
          <w:tcPr>
            <w:tcW w:w="2136" w:type="dxa"/>
            <w:tcBorders>
              <w:top w:val="single" w:color="auto" w:sz="4" w:space="0"/>
              <w:bottom w:val="single" w:color="auto" w:sz="4" w:space="0"/>
              <w:tl2br w:val="nil"/>
              <w:tr2bl w:val="nil"/>
            </w:tcBorders>
            <w:noWrap w:val="0"/>
            <w:vAlign w:val="center"/>
          </w:tcPr>
          <w:p w14:paraId="4FC8DAEA">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融入知识点</w:t>
            </w:r>
          </w:p>
        </w:tc>
        <w:tc>
          <w:tcPr>
            <w:tcW w:w="10637" w:type="dxa"/>
            <w:gridSpan w:val="5"/>
            <w:tcBorders>
              <w:top w:val="single" w:color="auto" w:sz="4" w:space="0"/>
              <w:bottom w:val="single" w:color="auto" w:sz="4" w:space="0"/>
              <w:tl2br w:val="nil"/>
              <w:tr2bl w:val="nil"/>
            </w:tcBorders>
            <w:noWrap w:val="0"/>
            <w:vAlign w:val="center"/>
          </w:tcPr>
          <w:p w14:paraId="3A6D2AB2">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1. 培育数据驱动思维：O2O 全链路漏斗数据解读、跨渠道利润数据分析与优化决策，引导学生认识全渠道数据打通对 O2O 运营的核心价值，树立 “用数据说话、用数据决策” 的运营思维；</w:t>
            </w:r>
          </w:p>
          <w:p w14:paraId="01DBDB77">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2. 强化成本效益意识：商品定价的成本基础分析、O2O 特殊成本核算、跨渠道利润分摊、低客单价订单利润侵蚀案例，培养学生关注全链路成本、重视投入产出比的务实经营理念；</w:t>
            </w:r>
          </w:p>
          <w:p w14:paraId="209574B8">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3. 培养逻辑分析能力：O2O 全链路漏斗各环节转化逻辑拆解、利润 “层层剥笋” 式核算，锻炼学生的系统思维与逻辑推理能力，理解复杂 O2O 业务问题的拆解方法；</w:t>
            </w:r>
          </w:p>
          <w:p w14:paraId="5D2489D4">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4. 激发职业责任意识：数据核算的准确性要求、O2O 场景下定价透明化设计、数据合规使用规范，培养学生严谨细致、求真务实的职业责任，树立诚信定价、合规经营的商业伦理；</w:t>
            </w:r>
          </w:p>
          <w:p w14:paraId="11D8C491">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5. 培育绿色运营意识：商品结构中低碳环保商品配置、高效履约方式选择（如自提优先），引导学生形成绿色低碳的运营理念，践行可持续发展的行业责任；</w:t>
            </w:r>
          </w:p>
          <w:p w14:paraId="66E6D6DD">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auto"/>
                <w:kern w:val="0"/>
                <w:sz w:val="24"/>
                <w:lang w:val="en-US" w:eastAsia="zh-CN" w:bidi="he-IL"/>
              </w:rPr>
              <w:t>6. 树立创新竞争意识：O2O 跨渠道定价协同策略、商品组合创新优化，培养学生结合市场环境与企业战略进行创新运营的竞争意识。</w:t>
            </w:r>
          </w:p>
        </w:tc>
      </w:tr>
      <w:tr w14:paraId="0F868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l2br w:val="nil"/>
              <w:tr2bl w:val="nil"/>
            </w:tcBorders>
            <w:shd w:val="clear" w:color="auto" w:fill="B8CCE4"/>
            <w:noWrap w:val="0"/>
            <w:vAlign w:val="center"/>
          </w:tcPr>
          <w:p w14:paraId="461904A8">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67EC17C7">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融入方式</w:t>
            </w:r>
          </w:p>
        </w:tc>
        <w:tc>
          <w:tcPr>
            <w:tcW w:w="10637" w:type="dxa"/>
            <w:gridSpan w:val="5"/>
            <w:tcBorders>
              <w:top w:val="single" w:color="auto" w:sz="4" w:space="0"/>
              <w:bottom w:val="single" w:color="auto" w:sz="4" w:space="0"/>
              <w:tl2br w:val="nil"/>
              <w:tr2bl w:val="nil"/>
            </w:tcBorders>
            <w:noWrap w:val="0"/>
            <w:vAlign w:val="center"/>
          </w:tcPr>
          <w:p w14:paraId="479982F4">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auto"/>
                <w:kern w:val="0"/>
                <w:sz w:val="24"/>
                <w:lang w:val="en-US" w:eastAsia="zh-CN" w:bidi="he-IL"/>
              </w:rPr>
              <w:t>案例分析、数据实操、小组研讨、方案设计、成果展示、点评指导</w:t>
            </w:r>
          </w:p>
        </w:tc>
      </w:tr>
      <w:tr w14:paraId="483D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l2br w:val="nil"/>
              <w:tr2bl w:val="nil"/>
            </w:tcBorders>
            <w:shd w:val="clear" w:color="auto" w:fill="B8CCE4"/>
            <w:noWrap w:val="0"/>
            <w:vAlign w:val="center"/>
          </w:tcPr>
          <w:p w14:paraId="67FC8579">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28064CE7">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思政元素</w:t>
            </w:r>
          </w:p>
        </w:tc>
        <w:tc>
          <w:tcPr>
            <w:tcW w:w="10637" w:type="dxa"/>
            <w:gridSpan w:val="5"/>
            <w:tcBorders>
              <w:top w:val="single" w:color="auto" w:sz="4" w:space="0"/>
              <w:bottom w:val="single" w:color="auto" w:sz="4" w:space="0"/>
              <w:tl2br w:val="nil"/>
              <w:tr2bl w:val="nil"/>
            </w:tcBorders>
            <w:noWrap w:val="0"/>
            <w:vAlign w:val="center"/>
          </w:tcPr>
          <w:p w14:paraId="03271ABD">
            <w:pPr>
              <w:keepNext w:val="0"/>
              <w:keepLines w:val="0"/>
              <w:widowControl/>
              <w:numPr>
                <w:ilvl w:val="0"/>
                <w:numId w:val="0"/>
              </w:numPr>
              <w:suppressLineNumbers w:val="0"/>
              <w:spacing w:line="360" w:lineRule="auto"/>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数据驱动、成本效益、逻辑分析、职业责任、求真务实、诚信经营、创新竞争、务实经营、全渠道协同、绿色运营、合规经营</w:t>
            </w:r>
          </w:p>
        </w:tc>
      </w:tr>
      <w:tr w14:paraId="1F75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bottom w:val="single" w:color="auto" w:sz="4" w:space="0"/>
              <w:tl2br w:val="nil"/>
              <w:tr2bl w:val="nil"/>
            </w:tcBorders>
            <w:shd w:val="clear" w:color="auto" w:fill="B8CCE4"/>
            <w:noWrap w:val="0"/>
            <w:vAlign w:val="center"/>
          </w:tcPr>
          <w:p w14:paraId="6E3AA0C7">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0C2746C3">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思政资源</w:t>
            </w:r>
          </w:p>
        </w:tc>
        <w:tc>
          <w:tcPr>
            <w:tcW w:w="10637" w:type="dxa"/>
            <w:gridSpan w:val="5"/>
            <w:tcBorders>
              <w:top w:val="single" w:color="auto" w:sz="4" w:space="0"/>
              <w:bottom w:val="single" w:color="auto" w:sz="4" w:space="0"/>
              <w:tl2br w:val="nil"/>
              <w:tr2bl w:val="nil"/>
            </w:tcBorders>
            <w:noWrap w:val="0"/>
            <w:vAlign w:val="center"/>
          </w:tcPr>
          <w:p w14:paraId="54CEF577">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1. 实体产业资源：校办企业日照日知商业管理有限公司各门店 O2O 跨渠道销售数据、成本核算表、促销活动效果数据、平台佣金与履约成本核算规则；</w:t>
            </w:r>
          </w:p>
          <w:p w14:paraId="4EF31AEF">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2. 虚拟实训资源：零售门店 O2O 运营人机协同平台（中教畅享）、商品运营数据模拟分析系统、O2O 全渠道数据整合实训系统；</w:t>
            </w:r>
          </w:p>
          <w:p w14:paraId="145161F0">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3. 数字化资源：电商企业 O2O 跨渠道定价案例、销售漏斗优化成功案例、绿色商品运营案例、利润分析实操教程、数据合规使用规范、微课、课件；</w:t>
            </w:r>
          </w:p>
          <w:p w14:paraId="0CE0F66C">
            <w:pPr>
              <w:numPr>
                <w:ilvl w:val="0"/>
                <w:numId w:val="0"/>
              </w:numPr>
              <w:spacing w:before="16"/>
              <w:ind w:right="-50" w:rightChars="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szCs w:val="24"/>
                <w:lang w:val="en-US" w:eastAsia="zh-CN" w:bidi="he-IL"/>
              </w:rPr>
              <w:t>4. 校园文化资源：“商道文化节” 数据分析师技能大赛、企业导师商品数据分析经验分享，营造崇尚数据驱动、务实经营、绿色运营的职业文化氛围。</w:t>
            </w:r>
          </w:p>
        </w:tc>
      </w:tr>
      <w:tr w14:paraId="54E5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restart"/>
            <w:tcBorders>
              <w:tl2br w:val="nil"/>
              <w:tr2bl w:val="nil"/>
            </w:tcBorders>
            <w:shd w:val="clear" w:color="auto" w:fill="B8CCE4"/>
            <w:noWrap w:val="0"/>
            <w:vAlign w:val="center"/>
          </w:tcPr>
          <w:p w14:paraId="0A25189E">
            <w:pPr>
              <w:spacing w:before="16"/>
              <w:ind w:right="-50"/>
              <w:jc w:val="left"/>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教学重点及难点</w:t>
            </w:r>
          </w:p>
        </w:tc>
        <w:tc>
          <w:tcPr>
            <w:tcW w:w="2136" w:type="dxa"/>
            <w:tcBorders>
              <w:top w:val="single" w:color="auto" w:sz="4" w:space="0"/>
              <w:bottom w:val="single" w:color="auto" w:sz="4" w:space="0"/>
              <w:tl2br w:val="nil"/>
              <w:tr2bl w:val="nil"/>
            </w:tcBorders>
            <w:shd w:val="clear" w:color="auto" w:fill="auto"/>
            <w:noWrap w:val="0"/>
            <w:vAlign w:val="center"/>
          </w:tcPr>
          <w:p w14:paraId="4B5A4CC3">
            <w:pPr>
              <w:spacing w:before="16"/>
              <w:ind w:right="-50"/>
              <w:jc w:val="center"/>
              <w:rPr>
                <w:rFonts w:hint="eastAsia"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重点</w:t>
            </w:r>
          </w:p>
        </w:tc>
        <w:tc>
          <w:tcPr>
            <w:tcW w:w="10637" w:type="dxa"/>
            <w:gridSpan w:val="5"/>
            <w:tcBorders>
              <w:top w:val="single" w:color="auto" w:sz="4" w:space="0"/>
              <w:bottom w:val="single" w:color="auto" w:sz="4" w:space="0"/>
              <w:tl2br w:val="nil"/>
              <w:tr2bl w:val="nil"/>
            </w:tcBorders>
            <w:shd w:val="clear" w:color="auto" w:fill="auto"/>
            <w:noWrap w:val="0"/>
            <w:vAlign w:val="center"/>
          </w:tcPr>
          <w:p w14:paraId="0E08D27F">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O2O 全链路销售漏斗的转化逻辑、各环节转化率计算与数据解读方法</w:t>
            </w:r>
          </w:p>
        </w:tc>
      </w:tr>
      <w:tr w14:paraId="55655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bottom w:val="single" w:color="auto" w:sz="4" w:space="0"/>
              <w:tl2br w:val="nil"/>
              <w:tr2bl w:val="nil"/>
            </w:tcBorders>
            <w:shd w:val="clear" w:color="auto" w:fill="B8CCE4"/>
            <w:noWrap w:val="0"/>
            <w:vAlign w:val="center"/>
          </w:tcPr>
          <w:p w14:paraId="6483E9F7">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shd w:val="clear" w:color="auto" w:fill="auto"/>
            <w:noWrap w:val="0"/>
            <w:vAlign w:val="center"/>
          </w:tcPr>
          <w:p w14:paraId="4B4E7046">
            <w:pPr>
              <w:spacing w:before="16"/>
              <w:ind w:right="-50"/>
              <w:jc w:val="center"/>
              <w:rPr>
                <w:rFonts w:hint="eastAsia"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难点</w:t>
            </w:r>
          </w:p>
        </w:tc>
        <w:tc>
          <w:tcPr>
            <w:tcW w:w="10637" w:type="dxa"/>
            <w:gridSpan w:val="5"/>
            <w:tcBorders>
              <w:top w:val="single" w:color="auto" w:sz="4" w:space="0"/>
              <w:bottom w:val="single" w:color="auto" w:sz="4" w:space="0"/>
              <w:tl2br w:val="nil"/>
              <w:tr2bl w:val="nil"/>
            </w:tcBorders>
            <w:shd w:val="clear" w:color="auto" w:fill="auto"/>
            <w:noWrap w:val="0"/>
            <w:vAlign w:val="center"/>
          </w:tcPr>
          <w:p w14:paraId="3B4838B2">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通过多渠道数据分析识别 “高销量低利润” 的跨渠道商品，提出可落地的全链路利润优化方案。</w:t>
            </w:r>
          </w:p>
        </w:tc>
      </w:tr>
      <w:tr w14:paraId="039A0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237" w:type="dxa"/>
            <w:tcBorders>
              <w:top w:val="single" w:color="auto" w:sz="4" w:space="0"/>
              <w:bottom w:val="single" w:color="auto" w:sz="4" w:space="0"/>
              <w:tl2br w:val="nil"/>
              <w:tr2bl w:val="nil"/>
            </w:tcBorders>
            <w:shd w:val="clear" w:color="auto" w:fill="B8CCE4"/>
            <w:noWrap w:val="0"/>
            <w:vAlign w:val="center"/>
          </w:tcPr>
          <w:p w14:paraId="47879EBC">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课堂任务</w:t>
            </w:r>
          </w:p>
        </w:tc>
        <w:tc>
          <w:tcPr>
            <w:tcW w:w="12773" w:type="dxa"/>
            <w:gridSpan w:val="6"/>
            <w:tcBorders>
              <w:top w:val="single" w:color="auto" w:sz="4" w:space="0"/>
              <w:bottom w:val="single" w:color="auto" w:sz="4" w:space="0"/>
              <w:tl2br w:val="nil"/>
              <w:tr2bl w:val="nil"/>
            </w:tcBorders>
            <w:noWrap w:val="0"/>
            <w:vAlign w:val="center"/>
          </w:tcPr>
          <w:p w14:paraId="4EBEF306">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校办企业日照日知商业管理有限公司旗下超市、水果店、奶茶店 O2O 业务出现 “线上销量增长但整体利润下滑” 的问题，核心客群为在校大学生与教师。要求结合商品运营数据分析相关知识，完成以下任务：</w:t>
            </w:r>
          </w:p>
          <w:p w14:paraId="3807597F">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1. 选取门店 1-2 类核心商品（如奶茶店的饮品、水果店的时令水果），结合成本、市场竞争、客群心理与 O2O 场景，制定线上线下协同的定价方案（如线上团购引流价 + 线下到店加价购策略）；</w:t>
            </w:r>
          </w:p>
          <w:p w14:paraId="581142DA">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2. 分析门店 O2O 商品结构，运用商品矩阵模型找出线上线下商品组合的短板，提出跨渠道互补优化建议（如线上推引流款、线下配体验款 / 利润款）；</w:t>
            </w:r>
          </w:p>
          <w:p w14:paraId="677502AD">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3. 基于门店提供的 O2O 全渠道数据，拆解全链路销售漏斗（线上曝光→点击→线下到店→咨询→下单→复购），计算各环节转化率，识别 1-2 个核心转化痛点；</w:t>
            </w:r>
          </w:p>
          <w:p w14:paraId="0350F329">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4. 选取 3-5 笔 O2O 典型订单（含线上团购、线下自提、平台配送订单），完成利润核算（含平台佣金、履约成本），找出 “跨渠道虚假繁荣” 的订单或商品；</w:t>
            </w:r>
          </w:p>
          <w:p w14:paraId="197AD999">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5. 整合以上分析结果，形成一份 800 字左右的 O2O 商品运营数据优化方案，包含跨渠道定价、商品组合、漏斗优化、利润提升四大模块。</w:t>
            </w:r>
          </w:p>
          <w:p w14:paraId="37D4A92C">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设计目标有：</w:t>
            </w:r>
          </w:p>
          <w:p w14:paraId="0984B45F">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（1）定价协同：线上线下价格互补，兼顾引流效果与利润目标，贴合师生客群消费能力；</w:t>
            </w:r>
          </w:p>
          <w:p w14:paraId="4BDB74B1">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（2）结构合理：跨渠道商品组合优化，实现线上线下优势互补，提升全链路转化效率；</w:t>
            </w:r>
          </w:p>
          <w:p w14:paraId="50DDA093">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szCs w:val="24"/>
                <w:lang w:val="en-US" w:eastAsia="zh-CN" w:bidi="he-IL"/>
              </w:rPr>
              <w:t>（3）数据精准：全渠道利润核算准确，漏斗痛点定位清晰，优化建议贴合 O2O 场景、可落地执行。</w:t>
            </w:r>
          </w:p>
        </w:tc>
      </w:tr>
      <w:tr w14:paraId="04C9D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1237" w:type="dxa"/>
            <w:vMerge w:val="restart"/>
            <w:shd w:val="clear" w:color="auto" w:fill="B8CCE4"/>
            <w:noWrap w:val="0"/>
            <w:vAlign w:val="center"/>
          </w:tcPr>
          <w:p w14:paraId="47B65FFA">
            <w:pPr>
              <w:spacing w:before="16"/>
              <w:ind w:right="-50"/>
              <w:jc w:val="center"/>
              <w:rPr>
                <w:rFonts w:hint="eastAsia" w:ascii="微软雅黑" w:hAnsi="微软雅黑" w:eastAsia="微软雅黑" w:cs="微软雅黑"/>
                <w:color w:val="333333"/>
                <w:kern w:val="0"/>
                <w:sz w:val="24"/>
                <w:lang w:eastAsia="zh-CN" w:bidi="he-IL"/>
              </w:rPr>
            </w:pPr>
            <w:r>
              <w:rPr>
                <w:rFonts w:hint="eastAsia" w:ascii="微软雅黑" w:hAnsi="微软雅黑" w:eastAsia="微软雅黑" w:cs="微软雅黑"/>
                <w:b/>
                <w:bCs/>
                <w:color w:val="333333"/>
                <w:kern w:val="0"/>
                <w:sz w:val="24"/>
                <w:lang w:eastAsia="zh-CN" w:bidi="he-IL"/>
              </w:rPr>
              <w:t>教学资源</w:t>
            </w:r>
          </w:p>
        </w:tc>
        <w:tc>
          <w:tcPr>
            <w:tcW w:w="2136" w:type="dxa"/>
            <w:noWrap w:val="0"/>
            <w:vAlign w:val="center"/>
          </w:tcPr>
          <w:p w14:paraId="66DB9EEA">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线下资源</w:t>
            </w:r>
          </w:p>
        </w:tc>
        <w:tc>
          <w:tcPr>
            <w:tcW w:w="10637" w:type="dxa"/>
            <w:gridSpan w:val="5"/>
            <w:noWrap w:val="0"/>
            <w:vAlign w:val="center"/>
          </w:tcPr>
          <w:p w14:paraId="3AA61C47">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 教材：《零售门店全渠道运营（AI + 微课版）》（书号：978-7-115-66469-3），俞洋洋 只井杰 黄静潇主编，人民邮电出版社，2025 年 5 月出版 十四五国家规划教材；</w:t>
            </w:r>
          </w:p>
          <w:p w14:paraId="1232FB66">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 企业资源：校办企业日照日知商业管理有限公司各门店 O2O 跨渠道销售数据明细表、单位产品成本表、促销活动规则、平台佣金规则、履约成本核算表；</w:t>
            </w:r>
          </w:p>
          <w:p w14:paraId="4DD4ADA8">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3. 教辅资料：商品定价计算手册、商品矩阵分析模板、O2O 全链路利润核算模板、Excel 高级功能实操手册、O2O 数据整合案例集。</w:t>
            </w:r>
          </w:p>
        </w:tc>
      </w:tr>
      <w:tr w14:paraId="4A5E5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1237" w:type="dxa"/>
            <w:vMerge w:val="continue"/>
            <w:shd w:val="clear" w:color="auto" w:fill="B8CCE4"/>
            <w:noWrap w:val="0"/>
            <w:vAlign w:val="top"/>
          </w:tcPr>
          <w:p w14:paraId="58739CF6">
            <w:pPr>
              <w:spacing w:before="16"/>
              <w:ind w:right="-50"/>
              <w:jc w:val="left"/>
              <w:rPr>
                <w:rFonts w:ascii="微软雅黑" w:hAnsi="微软雅黑" w:eastAsia="微软雅黑" w:cs="微软雅黑"/>
                <w:color w:val="333333"/>
                <w:kern w:val="0"/>
                <w:sz w:val="24"/>
                <w:lang w:bidi="he-IL"/>
              </w:rPr>
            </w:pPr>
          </w:p>
        </w:tc>
        <w:tc>
          <w:tcPr>
            <w:tcW w:w="2136" w:type="dxa"/>
            <w:noWrap w:val="0"/>
            <w:vAlign w:val="center"/>
          </w:tcPr>
          <w:p w14:paraId="1E014E17">
            <w:pPr>
              <w:spacing w:before="16"/>
              <w:ind w:right="-50"/>
              <w:jc w:val="center"/>
              <w:rPr>
                <w:rFonts w:hint="default" w:ascii="微软雅黑" w:hAnsi="微软雅黑" w:eastAsia="微软雅黑" w:cs="微软雅黑"/>
                <w:b/>
                <w:bCs/>
                <w:color w:val="333333"/>
                <w:kern w:val="0"/>
                <w:szCs w:val="21"/>
                <w:lang w:val="en-US" w:bidi="he-IL"/>
              </w:rPr>
            </w:pPr>
            <w:r>
              <w:rPr>
                <w:rFonts w:hint="eastAsia" w:ascii="微软雅黑" w:hAnsi="微软雅黑" w:eastAsia="微软雅黑" w:cs="微软雅黑"/>
                <w:b/>
                <w:bCs/>
                <w:color w:val="333333"/>
                <w:kern w:val="0"/>
                <w:szCs w:val="21"/>
                <w:lang w:val="en-US" w:eastAsia="zh-CN" w:bidi="he-IL"/>
              </w:rPr>
              <w:t>线上资源</w:t>
            </w:r>
          </w:p>
        </w:tc>
        <w:tc>
          <w:tcPr>
            <w:tcW w:w="10637" w:type="dxa"/>
            <w:gridSpan w:val="5"/>
            <w:noWrap w:val="0"/>
            <w:vAlign w:val="center"/>
          </w:tcPr>
          <w:p w14:paraId="7290A981">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1人人出彩教学平台（微课、课件、课前 / 课后测验、O2O 商品运营数据分析案例视频、Excel 高级功能实操视频）；</w:t>
            </w:r>
          </w:p>
          <w:p w14:paraId="0ABB667B">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 仿真软件：电子商务人机协同通用能力平台、商品运营数据模拟分析系统、O2O 全渠道数据整合实训系统；</w:t>
            </w:r>
          </w:p>
          <w:p w14:paraId="20FC554A">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3. 数字化资源：瑞幸咖啡 / O2O 跨渠道定价案例、戴森撇脂定价、拼多多渗透定价案例解析、电商平台利润核算规则、销售漏斗优化实战案例、BI 工具基础操作教程、绿色商品运营成功案例。</w:t>
            </w:r>
          </w:p>
        </w:tc>
      </w:tr>
      <w:tr w14:paraId="1D97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237" w:type="dxa"/>
            <w:shd w:val="clear" w:color="auto" w:fill="B8CCE4"/>
            <w:noWrap w:val="0"/>
            <w:vAlign w:val="center"/>
          </w:tcPr>
          <w:p w14:paraId="2A53BED4">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教学方法</w:t>
            </w:r>
          </w:p>
          <w:p w14:paraId="0F5B2C19">
            <w:pPr>
              <w:spacing w:before="16"/>
              <w:ind w:right="-50"/>
              <w:jc w:val="center"/>
              <w:rPr>
                <w:rFonts w:ascii="微软雅黑" w:hAnsi="微软雅黑" w:eastAsia="微软雅黑" w:cs="微软雅黑"/>
                <w:color w:val="333333"/>
                <w:kern w:val="0"/>
                <w:sz w:val="24"/>
                <w:lang w:bidi="he-IL"/>
              </w:rPr>
            </w:pPr>
          </w:p>
        </w:tc>
        <w:tc>
          <w:tcPr>
            <w:tcW w:w="12773" w:type="dxa"/>
            <w:gridSpan w:val="6"/>
            <w:noWrap w:val="0"/>
            <w:vAlign w:val="center"/>
          </w:tcPr>
          <w:p w14:paraId="0BC4F36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1. 全链路案例驱动教学法：以 “真案例” 贯穿全程，实现 “学中算、算中悟、悟中创”</w:t>
            </w:r>
          </w:p>
          <w:p w14:paraId="1DC0240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val="0"/>
                <w:bCs w:val="0"/>
                <w:color w:val="333333"/>
                <w:kern w:val="0"/>
                <w:sz w:val="24"/>
                <w:lang w:val="en-US" w:eastAsia="zh-CN" w:bidi="he-IL"/>
              </w:rPr>
            </w:pPr>
            <w:r>
              <w:rPr>
                <w:rFonts w:hint="eastAsia" w:ascii="微软雅黑" w:hAnsi="微软雅黑" w:eastAsia="微软雅黑" w:cs="微软雅黑"/>
                <w:b w:val="0"/>
                <w:bCs w:val="0"/>
                <w:color w:val="333333"/>
                <w:kern w:val="0"/>
                <w:sz w:val="24"/>
                <w:lang w:val="en-US" w:eastAsia="zh-CN" w:bidi="he-IL"/>
              </w:rPr>
              <w:t>本课以校办企业 “线上销量增长但整体利润下滑” 的真实 O2O 业务问题为核心案例，结合瑞幸咖啡 “线上优惠券引流 + 线下核销”、A 科技网店利润分析等典型案例，将抽象的定价方法、利润核算、漏斗模型知识与 O2O 全链路运营结合，通过案例分析、问题引导，让学生理解数据驱动 O2O 商品运营的核心逻辑；在案例探究环节，通过环环相扣的问题引导学生思考，学生动手核算、分析数据，实现知识向数据分析能力的转化。</w:t>
            </w:r>
          </w:p>
          <w:p w14:paraId="7C587D6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2. 小组协作探究法：以 “团队” 为单位，模拟职场数据分析师项目</w:t>
            </w:r>
          </w:p>
          <w:p w14:paraId="73E540D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val="0"/>
                <w:bCs w:val="0"/>
                <w:color w:val="333333"/>
                <w:kern w:val="0"/>
                <w:sz w:val="24"/>
                <w:lang w:val="en-US" w:eastAsia="zh-CN" w:bidi="he-IL"/>
              </w:rPr>
            </w:pPr>
            <w:r>
              <w:rPr>
                <w:rFonts w:hint="eastAsia" w:ascii="微软雅黑" w:hAnsi="微软雅黑" w:eastAsia="微软雅黑" w:cs="微软雅黑"/>
                <w:b w:val="0"/>
                <w:bCs w:val="0"/>
                <w:color w:val="333333"/>
                <w:kern w:val="0"/>
                <w:sz w:val="24"/>
                <w:lang w:val="en-US" w:eastAsia="zh-CN" w:bidi="he-IL"/>
              </w:rPr>
              <w:t>任务单中有分组方式和角色分工（组长、定价分析、商品结构优化、漏斗拆解、利润核算、数据处理、成果汇报）。结构化分工确保 “人人有责，人人参与”，避免 “搭便车”；通过提出挑战性问题，引导学生结合校办企业实际数据自主探究；学生在撰写方案时，自主探究如何通过数据分析解决 O2O 场景下的企业实际运营问题。</w:t>
            </w:r>
          </w:p>
          <w:p w14:paraId="2EA7DE7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3. 数据实操教学法：以 “实操” 深化认知，突破知识重难点</w:t>
            </w:r>
          </w:p>
          <w:p w14:paraId="0CE7BBA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8"/>
                <w:szCs w:val="28"/>
                <w:lang w:val="en-US" w:eastAsia="zh-CN"/>
              </w:rPr>
            </w:pPr>
            <w:r>
              <w:rPr>
                <w:rFonts w:hint="eastAsia" w:ascii="微软雅黑" w:hAnsi="微软雅黑" w:eastAsia="微软雅黑" w:cs="微软雅黑"/>
                <w:b w:val="0"/>
                <w:bCs w:val="0"/>
                <w:color w:val="333333"/>
                <w:kern w:val="0"/>
                <w:sz w:val="24"/>
                <w:lang w:val="en-US" w:eastAsia="zh-CN" w:bidi="he-IL"/>
              </w:rPr>
              <w:t>通过 Excel 数据透视表、筛选等高级功能实操，O2O 全渠道数据模拟分析系统实操，让学生沉浸式进行 O2O 定价计算、跨渠道利润核算、全链路漏斗数据拆解，直观感受 O2O 多渠道数据处理与分析的完整流程；通过动手实操，让学生快速突破复杂利润核算、跨渠道漏斗痛点定位的知识难点，构建清晰的数据驱动思维。</w:t>
            </w:r>
          </w:p>
        </w:tc>
      </w:tr>
      <w:tr w14:paraId="6A1AF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237" w:type="dxa"/>
            <w:tcBorders>
              <w:bottom w:val="single" w:color="auto" w:sz="4" w:space="0"/>
            </w:tcBorders>
            <w:shd w:val="clear" w:color="auto" w:fill="B8CCE4"/>
            <w:noWrap w:val="0"/>
            <w:vAlign w:val="center"/>
          </w:tcPr>
          <w:p w14:paraId="1535F71D">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考核评价</w:t>
            </w:r>
          </w:p>
        </w:tc>
        <w:tc>
          <w:tcPr>
            <w:tcW w:w="12773" w:type="dxa"/>
            <w:gridSpan w:val="6"/>
            <w:tcBorders>
              <w:bottom w:val="single" w:color="auto" w:sz="4" w:space="0"/>
            </w:tcBorders>
            <w:noWrap w:val="0"/>
            <w:vAlign w:val="center"/>
          </w:tcPr>
          <w:p w14:paraId="6D30D02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color w:val="333333"/>
                <w:kern w:val="0"/>
                <w:sz w:val="24"/>
                <w:lang w:bidi="he-IL"/>
              </w:rPr>
            </w:pPr>
            <w:r>
              <w:rPr>
                <w:rFonts w:hint="eastAsia" w:ascii="微软雅黑" w:hAnsi="微软雅黑" w:eastAsia="微软雅黑" w:cs="微软雅黑"/>
                <w:b w:val="0"/>
                <w:bCs w:val="0"/>
                <w:color w:val="333333"/>
                <w:kern w:val="0"/>
                <w:sz w:val="24"/>
                <w:lang w:val="en-US" w:eastAsia="zh-CN" w:bidi="he-IL"/>
              </w:rPr>
              <w:t>本课程采用 “过程性为主、终结性为辅、增值性为补” 的多元考核：过程性占 60%，含考勤（5%）、作业（10%）、学习表现（预习 / 数据收集）（5%）、校办企业真实数据实操（O2O 定价方案设计 5%、全链路漏斗拆解 5%、O2O 利润核算 5%）、人机协同平台实操（10%）、思政表现（数据驱动、成本效益、严谨细致、绿色运营意识体现）（10%），由双师评分；终结性考核占 30%，主要是理论思政测试（涵盖定价方法、商品结构、O2O 全链路漏斗、利润核算核心知识及数据驱动、职业责任、诚信经营、绿色运营等思政元素）；增值性考核占 10%，依据数据分析师技能大赛成果、商品数据分析优秀方案、数据实操优秀成果等。</w:t>
            </w:r>
          </w:p>
        </w:tc>
      </w:tr>
    </w:tbl>
    <w:p w14:paraId="48E39F5C">
      <w:pPr>
        <w:jc w:val="center"/>
        <w:rPr>
          <w:rFonts w:hint="default" w:ascii="黑体" w:hAnsi="黑体" w:eastAsia="黑体"/>
          <w:sz w:val="36"/>
          <w:szCs w:val="36"/>
          <w:lang w:val="en-US" w:eastAsia="zh-CN"/>
        </w:rPr>
      </w:pPr>
      <w:r>
        <w:rPr>
          <w:rFonts w:hint="eastAsia" w:ascii="黑体" w:hAnsi="黑体" w:eastAsia="黑体"/>
          <w:sz w:val="36"/>
          <w:szCs w:val="36"/>
          <w:lang w:val="en-US" w:eastAsia="zh-CN"/>
        </w:rPr>
        <w:t>以下为教学实施过程的具体内容</w:t>
      </w:r>
    </w:p>
    <w:tbl>
      <w:tblPr>
        <w:tblStyle w:val="2"/>
        <w:tblW w:w="14004" w:type="dxa"/>
        <w:jc w:val="center"/>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Layout w:type="fixed"/>
        <w:tblCellMar>
          <w:top w:w="0" w:type="dxa"/>
          <w:left w:w="108" w:type="dxa"/>
          <w:bottom w:w="0" w:type="dxa"/>
          <w:right w:w="108" w:type="dxa"/>
        </w:tblCellMar>
      </w:tblPr>
      <w:tblGrid>
        <w:gridCol w:w="1203"/>
        <w:gridCol w:w="2942"/>
        <w:gridCol w:w="3817"/>
        <w:gridCol w:w="2892"/>
        <w:gridCol w:w="3150"/>
      </w:tblGrid>
      <w:tr w14:paraId="27D18AC9">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557" w:hRule="atLeast"/>
          <w:jc w:val="center"/>
        </w:trPr>
        <w:tc>
          <w:tcPr>
            <w:tcW w:w="14004" w:type="dxa"/>
            <w:gridSpan w:val="5"/>
            <w:shd w:val="clear" w:color="auto" w:fill="C7DAF1"/>
            <w:noWrap w:val="0"/>
            <w:vAlign w:val="center"/>
          </w:tcPr>
          <w:p w14:paraId="1E1E2DDA">
            <w:pPr>
              <w:adjustRightInd w:val="0"/>
              <w:snapToGrid w:val="0"/>
              <w:spacing w:line="360" w:lineRule="exact"/>
              <w:jc w:val="center"/>
              <w:rPr>
                <w:rFonts w:hint="eastAsia" w:ascii="微软雅黑" w:hAnsi="微软雅黑" w:eastAsia="微软雅黑"/>
                <w:b/>
                <w:color w:val="FFFFFF"/>
                <w:sz w:val="21"/>
                <w:szCs w:val="21"/>
                <w:lang w:eastAsia="zh-CN"/>
              </w:rPr>
            </w:pPr>
            <w:r>
              <w:rPr>
                <w:rFonts w:hint="eastAsia" w:ascii="微软雅黑" w:hAnsi="微软雅黑" w:eastAsia="微软雅黑"/>
                <w:b/>
                <w:color w:val="auto"/>
                <w:sz w:val="21"/>
                <w:szCs w:val="21"/>
                <w:lang w:val="en-US" w:eastAsia="zh-CN"/>
              </w:rPr>
              <w:t>课前</w:t>
            </w:r>
          </w:p>
        </w:tc>
      </w:tr>
      <w:tr w14:paraId="071687B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427" w:hRule="atLeast"/>
          <w:jc w:val="center"/>
        </w:trPr>
        <w:tc>
          <w:tcPr>
            <w:tcW w:w="1203" w:type="dxa"/>
            <w:vMerge w:val="restart"/>
            <w:shd w:val="clear" w:color="auto" w:fill="C7DAF1"/>
            <w:noWrap w:val="0"/>
            <w:vAlign w:val="center"/>
          </w:tcPr>
          <w:p w14:paraId="699DAFBF">
            <w:pPr>
              <w:spacing w:line="360" w:lineRule="exact"/>
              <w:jc w:val="center"/>
              <w:rPr>
                <w:rFonts w:hint="eastAsia" w:ascii="微软雅黑" w:hAnsi="微软雅黑" w:eastAsia="微软雅黑"/>
                <w:color w:val="auto"/>
                <w:kern w:val="0"/>
                <w:sz w:val="21"/>
                <w:szCs w:val="21"/>
                <w:lang w:eastAsia="zh-CN"/>
              </w:rPr>
            </w:pPr>
            <w:r>
              <w:rPr>
                <w:rFonts w:hint="eastAsia" w:ascii="微软雅黑" w:hAnsi="微软雅黑" w:eastAsia="微软雅黑"/>
                <w:color w:val="auto"/>
                <w:sz w:val="21"/>
                <w:szCs w:val="21"/>
                <w:lang w:val="en-US" w:eastAsia="zh-CN"/>
              </w:rPr>
              <w:t>教学环节</w:t>
            </w:r>
          </w:p>
        </w:tc>
        <w:tc>
          <w:tcPr>
            <w:tcW w:w="2942" w:type="dxa"/>
            <w:vMerge w:val="restart"/>
            <w:noWrap w:val="0"/>
            <w:vAlign w:val="center"/>
          </w:tcPr>
          <w:p w14:paraId="73AF0B36">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教学内容</w:t>
            </w:r>
          </w:p>
        </w:tc>
        <w:tc>
          <w:tcPr>
            <w:tcW w:w="6709" w:type="dxa"/>
            <w:gridSpan w:val="2"/>
            <w:noWrap w:val="0"/>
            <w:vAlign w:val="center"/>
          </w:tcPr>
          <w:p w14:paraId="0DD3A66D">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教学活动</w:t>
            </w:r>
          </w:p>
        </w:tc>
        <w:tc>
          <w:tcPr>
            <w:tcW w:w="3150" w:type="dxa"/>
            <w:vMerge w:val="restart"/>
            <w:noWrap w:val="0"/>
            <w:vAlign w:val="center"/>
          </w:tcPr>
          <w:p w14:paraId="3414E773">
            <w:pPr>
              <w:spacing w:line="360" w:lineRule="exact"/>
              <w:jc w:val="center"/>
              <w:rPr>
                <w:rFonts w:hint="eastAsia" w:ascii="微软雅黑" w:hAnsi="微软雅黑" w:eastAsia="微软雅黑"/>
                <w:kern w:val="0"/>
                <w:sz w:val="21"/>
                <w:szCs w:val="21"/>
                <w:lang w:eastAsia="zh-CN"/>
              </w:rPr>
            </w:pPr>
            <w:r>
              <w:rPr>
                <w:rFonts w:hint="eastAsia" w:ascii="微软雅黑" w:hAnsi="微软雅黑" w:eastAsia="微软雅黑"/>
                <w:kern w:val="0"/>
                <w:sz w:val="21"/>
                <w:szCs w:val="21"/>
              </w:rPr>
              <w:t>设计意图/</w:t>
            </w:r>
            <w:r>
              <w:rPr>
                <w:rFonts w:hint="eastAsia" w:ascii="微软雅黑" w:hAnsi="微软雅黑" w:eastAsia="微软雅黑"/>
                <w:kern w:val="0"/>
                <w:sz w:val="21"/>
                <w:szCs w:val="21"/>
                <w:lang w:eastAsia="zh-CN"/>
              </w:rPr>
              <w:t>思政融入</w:t>
            </w:r>
          </w:p>
        </w:tc>
      </w:tr>
      <w:tr w14:paraId="35AD9C9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90" w:hRule="atLeast"/>
          <w:jc w:val="center"/>
        </w:trPr>
        <w:tc>
          <w:tcPr>
            <w:tcW w:w="1203" w:type="dxa"/>
            <w:vMerge w:val="continue"/>
            <w:shd w:val="clear" w:color="auto" w:fill="C7DAF1"/>
            <w:noWrap w:val="0"/>
            <w:vAlign w:val="center"/>
          </w:tcPr>
          <w:p w14:paraId="4BBC8DF9">
            <w:pPr>
              <w:spacing w:line="360" w:lineRule="exact"/>
              <w:jc w:val="center"/>
              <w:rPr>
                <w:rFonts w:ascii="微软雅黑" w:hAnsi="微软雅黑" w:eastAsia="微软雅黑"/>
                <w:color w:val="auto"/>
                <w:kern w:val="0"/>
                <w:sz w:val="21"/>
                <w:szCs w:val="21"/>
              </w:rPr>
            </w:pPr>
          </w:p>
        </w:tc>
        <w:tc>
          <w:tcPr>
            <w:tcW w:w="2942" w:type="dxa"/>
            <w:vMerge w:val="continue"/>
            <w:noWrap w:val="0"/>
            <w:vAlign w:val="center"/>
          </w:tcPr>
          <w:p w14:paraId="7F060EB7">
            <w:pPr>
              <w:spacing w:line="360" w:lineRule="exact"/>
              <w:jc w:val="left"/>
              <w:rPr>
                <w:rFonts w:ascii="微软雅黑" w:hAnsi="微软雅黑" w:eastAsia="微软雅黑"/>
                <w:kern w:val="0"/>
                <w:sz w:val="21"/>
                <w:szCs w:val="21"/>
              </w:rPr>
            </w:pPr>
          </w:p>
        </w:tc>
        <w:tc>
          <w:tcPr>
            <w:tcW w:w="3817" w:type="dxa"/>
            <w:noWrap w:val="0"/>
            <w:vAlign w:val="center"/>
          </w:tcPr>
          <w:p w14:paraId="55513AC4">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教师活动</w:t>
            </w:r>
          </w:p>
        </w:tc>
        <w:tc>
          <w:tcPr>
            <w:tcW w:w="2892" w:type="dxa"/>
            <w:noWrap w:val="0"/>
            <w:vAlign w:val="center"/>
          </w:tcPr>
          <w:p w14:paraId="33553410">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学生活动</w:t>
            </w:r>
          </w:p>
        </w:tc>
        <w:tc>
          <w:tcPr>
            <w:tcW w:w="3150" w:type="dxa"/>
            <w:vMerge w:val="continue"/>
            <w:noWrap w:val="0"/>
            <w:vAlign w:val="center"/>
          </w:tcPr>
          <w:p w14:paraId="79DE38AF">
            <w:pPr>
              <w:spacing w:line="360" w:lineRule="exact"/>
              <w:jc w:val="left"/>
              <w:rPr>
                <w:rFonts w:ascii="微软雅黑" w:hAnsi="微软雅黑" w:eastAsia="微软雅黑"/>
                <w:kern w:val="0"/>
                <w:sz w:val="21"/>
                <w:szCs w:val="21"/>
              </w:rPr>
            </w:pPr>
          </w:p>
        </w:tc>
      </w:tr>
      <w:tr w14:paraId="6735C60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90" w:hRule="atLeast"/>
          <w:jc w:val="center"/>
        </w:trPr>
        <w:tc>
          <w:tcPr>
            <w:tcW w:w="1203" w:type="dxa"/>
            <w:shd w:val="clear" w:color="auto" w:fill="C7DAF1"/>
            <w:noWrap w:val="0"/>
            <w:vAlign w:val="center"/>
          </w:tcPr>
          <w:p w14:paraId="1532BB0B">
            <w:pPr>
              <w:adjustRightInd w:val="0"/>
              <w:snapToGrid w:val="0"/>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聚焦任务问题</w:t>
            </w:r>
          </w:p>
          <w:p w14:paraId="3528B2E1">
            <w:pPr>
              <w:spacing w:line="360" w:lineRule="exact"/>
              <w:jc w:val="center"/>
              <w:rPr>
                <w:rFonts w:ascii="微软雅黑" w:hAnsi="微软雅黑" w:eastAsia="微软雅黑"/>
                <w:color w:val="auto"/>
                <w:kern w:val="0"/>
                <w:sz w:val="21"/>
                <w:szCs w:val="21"/>
              </w:rPr>
            </w:pPr>
          </w:p>
        </w:tc>
        <w:tc>
          <w:tcPr>
            <w:tcW w:w="2942" w:type="dxa"/>
            <w:noWrap w:val="0"/>
            <w:vAlign w:val="top"/>
          </w:tcPr>
          <w:p w14:paraId="124B069E">
            <w:pPr>
              <w:spacing w:line="360" w:lineRule="exact"/>
              <w:rPr>
                <w:rFonts w:hint="eastAsia" w:ascii="微软雅黑" w:hAnsi="微软雅黑" w:eastAsia="微软雅黑"/>
                <w:b/>
                <w:bCs/>
                <w:sz w:val="21"/>
                <w:szCs w:val="21"/>
                <w:lang w:val="en-US" w:eastAsia="zh-CN"/>
              </w:rPr>
            </w:pPr>
            <w:r>
              <w:rPr>
                <w:rFonts w:hint="eastAsia" w:ascii="微软雅黑" w:hAnsi="微软雅黑" w:eastAsia="微软雅黑"/>
                <w:b/>
                <w:bCs/>
                <w:sz w:val="21"/>
                <w:szCs w:val="21"/>
                <w:lang w:val="en-US" w:eastAsia="zh-CN"/>
              </w:rPr>
              <w:t>聚焦任务问题</w:t>
            </w:r>
          </w:p>
          <w:p w14:paraId="3B3E015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在人人出彩教学平台上观看观看商品定价、商品结构、销售漏斗、利润分析及 O2O 跨渠道运营相关的微课视频；</w:t>
            </w:r>
          </w:p>
          <w:p w14:paraId="6492B99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掌握定价方法、商品矩阵、销售漏斗环节、利润核心公式，理解 O2O 跨渠道运营的基本逻辑；</w:t>
            </w:r>
          </w:p>
          <w:p w14:paraId="7BA7774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3. 学习 Excel 数据透视表、筛选、求和等高级功能，熟悉 O2O 全链路利润核算模板的使用方法；</w:t>
            </w:r>
          </w:p>
          <w:p w14:paraId="1A686CA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1"/>
                <w:szCs w:val="21"/>
              </w:rPr>
            </w:pPr>
            <w:r>
              <w:rPr>
                <w:rFonts w:hint="eastAsia" w:ascii="微软雅黑" w:hAnsi="微软雅黑" w:eastAsia="微软雅黑"/>
                <w:sz w:val="21"/>
                <w:szCs w:val="21"/>
                <w:lang w:val="en-US" w:eastAsia="zh-CN"/>
              </w:rPr>
              <w:t>4. 收集校办企业门店 1-2 类商品的 O2O 跨渠道销售数据（如美团 / 抖音销量、线下到店核销数据）、成本数据及平台佣金规则。</w:t>
            </w:r>
          </w:p>
        </w:tc>
        <w:tc>
          <w:tcPr>
            <w:tcW w:w="3817" w:type="dxa"/>
            <w:noWrap w:val="0"/>
            <w:vAlign w:val="top"/>
          </w:tcPr>
          <w:p w14:paraId="43EC9C47">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3938810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【发布任务】</w:t>
            </w:r>
            <w:r>
              <w:rPr>
                <w:rFonts w:hint="eastAsia" w:ascii="仿宋" w:hAnsi="仿宋" w:eastAsia="仿宋" w:cs="仿宋"/>
                <w:color w:val="000000"/>
                <w:kern w:val="0"/>
                <w:sz w:val="21"/>
                <w:szCs w:val="21"/>
                <w:lang w:val="en-US" w:eastAsia="zh-CN" w:bidi="ar"/>
              </w:rPr>
              <w:t>在学习平台推送课前任务单、微课视频和学习课件、做好课前测验；</w:t>
            </w:r>
          </w:p>
          <w:p w14:paraId="356F4E6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【发布学习工具】</w:t>
            </w:r>
            <w:r>
              <w:rPr>
                <w:rFonts w:hint="eastAsia" w:ascii="仿宋" w:hAnsi="仿宋" w:eastAsia="仿宋" w:cs="仿宋"/>
                <w:color w:val="000000"/>
                <w:kern w:val="0"/>
                <w:sz w:val="21"/>
                <w:szCs w:val="21"/>
                <w:lang w:val="en-US" w:eastAsia="zh-CN" w:bidi="ar"/>
              </w:rPr>
              <w:t>在平台上发布数据收集清单、Excel 高级功能教程、O2O 利润核算模板、数据合规使用规范；</w:t>
            </w:r>
          </w:p>
          <w:p w14:paraId="17C0785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【预习指导】</w:t>
            </w:r>
            <w:r>
              <w:rPr>
                <w:rFonts w:hint="eastAsia" w:ascii="仿宋" w:hAnsi="仿宋" w:eastAsia="仿宋" w:cs="仿宋"/>
                <w:color w:val="000000"/>
                <w:kern w:val="0"/>
                <w:sz w:val="21"/>
                <w:szCs w:val="21"/>
                <w:lang w:val="en-US" w:eastAsia="zh-CN" w:bidi="ar"/>
              </w:rPr>
              <w:t>发布资料收集清单并指导数据收集方向，解答学生对基础概念、公式及 O2O 业务逻辑的疑问。</w:t>
            </w:r>
          </w:p>
        </w:tc>
        <w:tc>
          <w:tcPr>
            <w:tcW w:w="2892" w:type="dxa"/>
            <w:noWrap w:val="0"/>
            <w:vAlign w:val="top"/>
          </w:tcPr>
          <w:p w14:paraId="08056A1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【接收任务】</w:t>
            </w:r>
          </w:p>
          <w:p w14:paraId="401357F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登陆教学平台接收任务单并进行小组人员分工；</w:t>
            </w:r>
          </w:p>
          <w:p w14:paraId="4D34B7B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分析任务要求，明确本节课学习重点、难点；</w:t>
            </w:r>
          </w:p>
          <w:p w14:paraId="2858C9C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 提前查看课件和微视频，熟悉商品运营数据分析相关理论知识、公式及 O2O 跨渠道运营逻辑；</w:t>
            </w:r>
          </w:p>
          <w:p w14:paraId="5949D7CF">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【工具学习】</w:t>
            </w:r>
          </w:p>
          <w:p w14:paraId="46658DE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学习 Excel 高级功能，掌握 O2O 利润核算模板的使用方法；</w:t>
            </w:r>
          </w:p>
          <w:p w14:paraId="4BAF7C2A">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【收集资料】</w:t>
            </w:r>
          </w:p>
          <w:p w14:paraId="088C163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完成校办企业门店商品 O2O 跨渠道销售与成本数据收集，形成初步的数据认知，梳理数据中的疑问与异常点。</w:t>
            </w:r>
          </w:p>
        </w:tc>
        <w:tc>
          <w:tcPr>
            <w:tcW w:w="3150" w:type="dxa"/>
            <w:noWrap w:val="0"/>
            <w:vAlign w:val="top"/>
          </w:tcPr>
          <w:p w14:paraId="7815471C">
            <w:pPr>
              <w:keepNext w:val="0"/>
              <w:keepLines w:val="0"/>
              <w:widowControl/>
              <w:numPr>
                <w:ilvl w:val="0"/>
                <w:numId w:val="0"/>
              </w:numPr>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p>
          <w:p w14:paraId="10291093">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通过发布任务、安排学习内容，培育学生线上自主学习能力和线下企业调研能力，让学生带着问题进入课堂，提升课堂教学效率。</w:t>
            </w:r>
          </w:p>
          <w:p w14:paraId="4F2607CA">
            <w:pPr>
              <w:keepNext w:val="0"/>
              <w:keepLines w:val="0"/>
              <w:widowControl/>
              <w:numPr>
                <w:ilvl w:val="0"/>
                <w:numId w:val="0"/>
              </w:numPr>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4C83D6E9">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数据意识：通过 O2O 多渠道数据收集与初步梳理，培养学生关注全渠道数据、重视数据价值的行业认知；</w:t>
            </w:r>
          </w:p>
          <w:p w14:paraId="1F3A9DD8">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自主学习：通过课前微课学习与工具实操，培养学生主动获取知识、提升技能的自主学习能力；</w:t>
            </w:r>
          </w:p>
          <w:p w14:paraId="500AC72A">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严谨细致：引导学生关注数据收集的准确性与完整性，培养严谨细致的学习与职业素养；</w:t>
            </w:r>
          </w:p>
          <w:p w14:paraId="55C4CBCA">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合规意识：通过学习数据合规使用规范，树立数据安全与合规使用的职业意识。</w:t>
            </w:r>
          </w:p>
        </w:tc>
      </w:tr>
      <w:tr w14:paraId="170DAB40">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center"/>
          </w:tcPr>
          <w:p w14:paraId="67C35AA5">
            <w:pPr>
              <w:adjustRightInd w:val="0"/>
              <w:snapToGrid w:val="0"/>
              <w:spacing w:line="360" w:lineRule="exact"/>
              <w:jc w:val="center"/>
              <w:rPr>
                <w:rFonts w:hint="eastAsia" w:ascii="仿宋" w:hAnsi="仿宋" w:eastAsia="仿宋" w:cs="仿宋"/>
                <w:color w:val="000000"/>
                <w:kern w:val="0"/>
                <w:sz w:val="21"/>
                <w:szCs w:val="21"/>
                <w:lang w:val="en-US" w:eastAsia="zh-CN" w:bidi="ar"/>
              </w:rPr>
            </w:pPr>
            <w:r>
              <w:rPr>
                <w:rFonts w:hint="eastAsia" w:ascii="仿宋" w:hAnsi="仿宋" w:eastAsia="仿宋" w:cs="仿宋"/>
                <w:b/>
                <w:color w:val="auto"/>
                <w:sz w:val="21"/>
                <w:szCs w:val="21"/>
                <w:lang w:val="en-US" w:eastAsia="zh-CN"/>
              </w:rPr>
              <w:t>课中</w:t>
            </w:r>
          </w:p>
        </w:tc>
      </w:tr>
      <w:tr w14:paraId="63177C9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2591" w:hRule="atLeast"/>
          <w:jc w:val="center"/>
        </w:trPr>
        <w:tc>
          <w:tcPr>
            <w:tcW w:w="1203" w:type="dxa"/>
            <w:shd w:val="clear" w:color="auto" w:fill="C7DAF1"/>
            <w:noWrap w:val="0"/>
            <w:vAlign w:val="center"/>
          </w:tcPr>
          <w:p w14:paraId="1DCB1B91">
            <w:pPr>
              <w:adjustRightInd w:val="0"/>
              <w:snapToGrid w:val="0"/>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查漏补缺</w:t>
            </w:r>
          </w:p>
          <w:p w14:paraId="72F74AF2">
            <w:pPr>
              <w:spacing w:line="360" w:lineRule="exact"/>
              <w:jc w:val="center"/>
              <w:rPr>
                <w:rFonts w:ascii="微软雅黑" w:hAnsi="微软雅黑" w:eastAsia="微软雅黑"/>
                <w:color w:val="auto"/>
                <w:kern w:val="0"/>
                <w:sz w:val="21"/>
                <w:szCs w:val="21"/>
              </w:rPr>
            </w:pPr>
            <w:r>
              <w:rPr>
                <w:rFonts w:hint="eastAsia" w:ascii="微软雅黑" w:hAnsi="微软雅黑" w:eastAsia="微软雅黑"/>
                <w:b/>
                <w:bCs/>
                <w:color w:val="auto"/>
                <w:kern w:val="0"/>
                <w:sz w:val="21"/>
                <w:szCs w:val="21"/>
              </w:rPr>
              <w:t>5分钟</w:t>
            </w:r>
          </w:p>
        </w:tc>
        <w:tc>
          <w:tcPr>
            <w:tcW w:w="2942" w:type="dxa"/>
            <w:noWrap w:val="0"/>
            <w:vAlign w:val="top"/>
          </w:tcPr>
          <w:p w14:paraId="26C46C7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回顾课前学习内容（定价方法、商品矩阵、销售漏斗环节、利润核心公式、O2O 跨渠道运营逻辑）；</w:t>
            </w:r>
          </w:p>
          <w:p w14:paraId="692D8CF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2. 找出学生学习难点（如 O2O 跨渠道定价协同、特殊成本核算规则、Excel 高级功能应用）。</w:t>
            </w:r>
          </w:p>
        </w:tc>
        <w:tc>
          <w:tcPr>
            <w:tcW w:w="3817" w:type="dxa"/>
            <w:noWrap w:val="0"/>
            <w:vAlign w:val="top"/>
          </w:tcPr>
          <w:p w14:paraId="71226B7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温故知新</w:t>
            </w:r>
            <w:r>
              <w:rPr>
                <w:rFonts w:hint="eastAsia" w:ascii="仿宋" w:hAnsi="仿宋" w:eastAsia="仿宋" w:cs="仿宋"/>
                <w:color w:val="000000"/>
                <w:kern w:val="0"/>
                <w:sz w:val="21"/>
                <w:szCs w:val="21"/>
                <w:lang w:val="en-US" w:eastAsia="zh-CN" w:bidi="ar"/>
              </w:rPr>
              <w:t>】</w:t>
            </w:r>
          </w:p>
          <w:p w14:paraId="01CBA29F">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复习巩固已学知识（O2O 运营生态、线上渠道布局），衔接商品运营数据分析与 O2O 运营的关联；</w:t>
            </w:r>
          </w:p>
          <w:p w14:paraId="508EAED9">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【提问检测】</w:t>
            </w:r>
          </w:p>
          <w:p w14:paraId="44765655">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通过提问检测学生课前学习效果，针对课前测验的易错点（如利润公式、O2O 定价逻辑、数据合规要求）进行简要讲解，了解知识欠缺处。</w:t>
            </w:r>
          </w:p>
        </w:tc>
        <w:tc>
          <w:tcPr>
            <w:tcW w:w="2892" w:type="dxa"/>
            <w:noWrap w:val="0"/>
            <w:vAlign w:val="top"/>
          </w:tcPr>
          <w:p w14:paraId="783237E7">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梳理知识</w:t>
            </w:r>
            <w:r>
              <w:rPr>
                <w:rFonts w:hint="eastAsia" w:ascii="仿宋" w:hAnsi="仿宋" w:eastAsia="仿宋" w:cs="仿宋"/>
                <w:color w:val="000000"/>
                <w:kern w:val="0"/>
                <w:sz w:val="21"/>
                <w:szCs w:val="21"/>
                <w:lang w:val="en-US" w:eastAsia="zh-CN" w:bidi="ar"/>
              </w:rPr>
              <w:t>】</w:t>
            </w:r>
          </w:p>
          <w:p w14:paraId="0AD8ADC7">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对课前学习的理论知识、公式、O2O 业务逻辑与收集的数据进行梳理，搭建基础的知识与数据体系；</w:t>
            </w:r>
          </w:p>
          <w:p w14:paraId="4866417B">
            <w:pPr>
              <w:keepNext w:val="0"/>
              <w:keepLines w:val="0"/>
              <w:widowControl/>
              <w:numPr>
                <w:ilvl w:val="0"/>
                <w:numId w:val="0"/>
              </w:numPr>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【查漏补缺】</w:t>
            </w:r>
          </w:p>
          <w:p w14:paraId="3AF71BF9">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进一步明确本节课学习的重点、难点和目标，主动提出预习与数据收集中的疑问，找准知识、工具应用与数据处理的薄弱点。</w:t>
            </w:r>
          </w:p>
        </w:tc>
        <w:tc>
          <w:tcPr>
            <w:tcW w:w="3150" w:type="dxa"/>
            <w:noWrap w:val="0"/>
            <w:vAlign w:val="top"/>
          </w:tcPr>
          <w:p w14:paraId="6E3BD0BE">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i w:val="0"/>
                <w:iCs w:val="0"/>
                <w:caps w:val="0"/>
                <w:color w:val="0F1115"/>
                <w:spacing w:val="0"/>
                <w:sz w:val="21"/>
                <w:szCs w:val="21"/>
                <w:shd w:val="clear" w:fill="FFFFFF"/>
              </w:rPr>
              <w:t>快速衔接课前学习内容，找准学生知识薄弱点，提高课堂教学的针对性和效率。</w:t>
            </w:r>
          </w:p>
          <w:p w14:paraId="2803EA0F">
            <w:pPr>
              <w:keepNext w:val="0"/>
              <w:keepLines w:val="0"/>
              <w:widowControl/>
              <w:numPr>
                <w:ilvl w:val="0"/>
                <w:numId w:val="0"/>
              </w:numPr>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1A9ABD35">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i w:val="0"/>
                <w:iCs w:val="0"/>
                <w:caps w:val="0"/>
                <w:color w:val="0F1115"/>
                <w:spacing w:val="0"/>
                <w:sz w:val="21"/>
                <w:szCs w:val="21"/>
                <w:shd w:val="clear" w:fill="FFFFFF"/>
              </w:rPr>
              <w:t>正确的学习观：通过提问检测，引导学生养成认真预习、及时梳理知识、主动提问的良好学习习惯；</w:t>
            </w:r>
          </w:p>
          <w:p w14:paraId="4BB2BD36">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i w:val="0"/>
                <w:iCs w:val="0"/>
                <w:caps w:val="0"/>
                <w:color w:val="0F1115"/>
                <w:spacing w:val="0"/>
                <w:sz w:val="21"/>
                <w:szCs w:val="21"/>
                <w:shd w:val="clear" w:fill="FFFFFF"/>
              </w:rPr>
              <w:t>细节意识：针对公式应用、数据核算、工具操作等细节难点，培养学生注重细节、精准把握知识的学习素养；</w:t>
            </w:r>
          </w:p>
          <w:p w14:paraId="73308D0D">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aps w:val="0"/>
                <w:color w:val="0F1115"/>
                <w:spacing w:val="0"/>
                <w:sz w:val="21"/>
                <w:szCs w:val="21"/>
                <w:shd w:val="clear" w:fill="FFFFFF"/>
              </w:rPr>
              <w:t>责任意识：强调数据合规使用的重要性，强化学生的职业责任意识。</w:t>
            </w:r>
          </w:p>
        </w:tc>
      </w:tr>
      <w:tr w14:paraId="423A2E26">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37E1E6C9">
            <w:pPr>
              <w:pStyle w:val="6"/>
              <w:spacing w:line="360" w:lineRule="exact"/>
              <w:jc w:val="center"/>
              <w:rPr>
                <w:rFonts w:hint="eastAsia" w:ascii="微软雅黑" w:hAnsi="微软雅黑" w:eastAsia="微软雅黑"/>
                <w:b/>
                <w:bCs/>
                <w:color w:val="auto"/>
                <w:sz w:val="21"/>
                <w:szCs w:val="21"/>
                <w:lang w:eastAsia="zh-CN"/>
              </w:rPr>
            </w:pPr>
            <w:r>
              <w:rPr>
                <w:rFonts w:hint="eastAsia" w:ascii="微软雅黑" w:hAnsi="微软雅黑" w:eastAsia="微软雅黑"/>
                <w:b/>
                <w:bCs/>
                <w:color w:val="auto"/>
                <w:sz w:val="21"/>
                <w:szCs w:val="21"/>
                <w:lang w:eastAsia="zh-CN"/>
              </w:rPr>
              <w:t>任务导入</w:t>
            </w:r>
          </w:p>
          <w:p w14:paraId="388F4440">
            <w:pPr>
              <w:pStyle w:val="6"/>
              <w:spacing w:line="360" w:lineRule="exact"/>
              <w:jc w:val="center"/>
              <w:rPr>
                <w:rFonts w:hint="default" w:ascii="微软雅黑" w:hAnsi="微软雅黑" w:eastAsia="微软雅黑"/>
                <w:color w:val="auto"/>
                <w:sz w:val="21"/>
                <w:szCs w:val="21"/>
                <w:lang w:val="en-US" w:eastAsia="zh-CN"/>
              </w:rPr>
            </w:pPr>
            <w:r>
              <w:rPr>
                <w:rFonts w:hint="eastAsia" w:ascii="微软雅黑" w:hAnsi="微软雅黑" w:eastAsia="微软雅黑"/>
                <w:b/>
                <w:bCs/>
                <w:color w:val="auto"/>
                <w:sz w:val="21"/>
                <w:szCs w:val="21"/>
                <w:lang w:val="en-US" w:eastAsia="zh-CN"/>
              </w:rPr>
              <w:t>5分钟</w:t>
            </w:r>
          </w:p>
        </w:tc>
        <w:tc>
          <w:tcPr>
            <w:tcW w:w="2942" w:type="dxa"/>
            <w:noWrap w:val="0"/>
            <w:vAlign w:val="top"/>
          </w:tcPr>
          <w:p w14:paraId="635F0C66">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分解课堂核心任务（O2O 跨渠道定价设计、商品结构优化、全链路漏斗拆解、利润核算与优化方案设计）；</w:t>
            </w:r>
          </w:p>
          <w:p w14:paraId="137DC51B">
            <w:pPr>
              <w:pStyle w:val="6"/>
              <w:spacing w:line="360" w:lineRule="exact"/>
              <w:jc w:val="both"/>
              <w:rPr>
                <w:rFonts w:ascii="微软雅黑" w:hAnsi="微软雅黑" w:eastAsia="微软雅黑"/>
                <w:sz w:val="21"/>
                <w:szCs w:val="21"/>
              </w:rPr>
            </w:pPr>
            <w:r>
              <w:rPr>
                <w:rFonts w:hint="eastAsia" w:ascii="微软雅黑" w:hAnsi="微软雅黑" w:eastAsia="微软雅黑"/>
                <w:sz w:val="21"/>
                <w:szCs w:val="21"/>
                <w:lang w:val="en-US" w:eastAsia="zh-CN"/>
              </w:rPr>
              <w:t>2. 分析任务核心要求，结合校办企业 “线上销量增长但整体利润下滑” 的实际问题设置认知冲突。</w:t>
            </w:r>
          </w:p>
        </w:tc>
        <w:tc>
          <w:tcPr>
            <w:tcW w:w="3817" w:type="dxa"/>
            <w:noWrap w:val="0"/>
            <w:vAlign w:val="top"/>
          </w:tcPr>
          <w:p w14:paraId="601265D5">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任务导入</w:t>
            </w:r>
            <w:r>
              <w:rPr>
                <w:rFonts w:hint="eastAsia" w:ascii="仿宋" w:hAnsi="仿宋" w:eastAsia="仿宋" w:cs="仿宋"/>
                <w:color w:val="000000"/>
                <w:kern w:val="0"/>
                <w:sz w:val="21"/>
                <w:szCs w:val="21"/>
                <w:lang w:val="en-US" w:eastAsia="zh-CN" w:bidi="ar"/>
              </w:rPr>
              <w:t>】引入校办企业 O2O 业务现状数据（如线上销量增长 20% 但利润下滑 10%），结合瑞幸咖啡 “线上引流 + 线下核销” 的成功案例，对比校办企业当前的运营困境；</w:t>
            </w:r>
          </w:p>
          <w:p w14:paraId="72AF0439">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【任务分析】</w:t>
            </w:r>
            <w:r>
              <w:rPr>
                <w:rFonts w:hint="eastAsia" w:ascii="仿宋" w:hAnsi="仿宋" w:eastAsia="仿宋" w:cs="仿宋"/>
                <w:color w:val="000000"/>
                <w:kern w:val="0"/>
                <w:sz w:val="21"/>
                <w:szCs w:val="21"/>
                <w:lang w:val="en-US" w:eastAsia="zh-CN" w:bidi="ar"/>
              </w:rPr>
              <w:t>设置认知冲突 “为什么线上销量增长了整体利润却下滑？如何通过 O2O 全渠道数据分析找到问题根源并优化？”，激发学生探究兴趣，明确本课核心任务及完成标准、时间节点。</w:t>
            </w:r>
          </w:p>
        </w:tc>
        <w:tc>
          <w:tcPr>
            <w:tcW w:w="2892" w:type="dxa"/>
            <w:noWrap w:val="0"/>
            <w:vAlign w:val="top"/>
          </w:tcPr>
          <w:p w14:paraId="118C82AB">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【任务分解】</w:t>
            </w:r>
            <w:r>
              <w:rPr>
                <w:rFonts w:hint="eastAsia" w:ascii="仿宋" w:hAnsi="仿宋" w:eastAsia="仿宋" w:cs="仿宋"/>
                <w:color w:val="000000"/>
                <w:kern w:val="0"/>
                <w:sz w:val="21"/>
                <w:szCs w:val="21"/>
                <w:lang w:val="en-US" w:eastAsia="zh-CN" w:bidi="ar"/>
              </w:rPr>
              <w:t>将课堂任务细化为 “数据整理 - O2O 定价设计 - 跨渠道商品结构优化 - 全链路漏斗拆解 - O2O 利润核算 - 优化方案撰写” 六个步骤；</w:t>
            </w:r>
          </w:p>
          <w:p w14:paraId="5FD929AF">
            <w:pPr>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【任务分工】</w:t>
            </w:r>
          </w:p>
          <w:p w14:paraId="2806B0CE">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按照分解的任务进行小组内人员再分工，明确各成员核心工作内容与完成要求。</w:t>
            </w:r>
          </w:p>
        </w:tc>
        <w:tc>
          <w:tcPr>
            <w:tcW w:w="3150" w:type="dxa"/>
            <w:noWrap w:val="0"/>
            <w:vAlign w:val="top"/>
          </w:tcPr>
          <w:p w14:paraId="115EDBA6">
            <w:pPr>
              <w:keepNext w:val="0"/>
              <w:keepLines w:val="0"/>
              <w:widowControl/>
              <w:numPr>
                <w:ilvl w:val="0"/>
                <w:numId w:val="0"/>
              </w:numPr>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b w:val="0"/>
                <w:bCs w:val="0"/>
                <w:color w:val="000000"/>
                <w:kern w:val="0"/>
                <w:sz w:val="21"/>
                <w:szCs w:val="21"/>
                <w:lang w:val="en-US" w:eastAsia="zh-CN" w:bidi="ar"/>
              </w:rPr>
              <w:t>以真实的企业 O2O 运营问题切入，激发学生学习与探究动机，让学生明确课堂学习的实际应用价值。</w:t>
            </w:r>
          </w:p>
          <w:p w14:paraId="4D63F3D6">
            <w:pPr>
              <w:keepNext w:val="0"/>
              <w:keepLines w:val="0"/>
              <w:widowControl/>
              <w:numPr>
                <w:ilvl w:val="0"/>
                <w:numId w:val="0"/>
              </w:numPr>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【思政融入】</w:t>
            </w:r>
          </w:p>
          <w:p w14:paraId="4A84DAAE">
            <w:pPr>
              <w:keepNext w:val="0"/>
              <w:keepLines w:val="0"/>
              <w:widowControl/>
              <w:numPr>
                <w:ilvl w:val="0"/>
                <w:numId w:val="0"/>
              </w:numPr>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问题导向：培养学生结合企业 O2O 实际发现问题、通过数据分析解决问题的职业思维与实践意识；</w:t>
            </w:r>
          </w:p>
          <w:p w14:paraId="11BB0485">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成本效益：引导学生思考 O2O 场景下销售额与利润的关系，培养关注全链路效益、务实经营的职业素养。</w:t>
            </w:r>
          </w:p>
        </w:tc>
      </w:tr>
      <w:tr w14:paraId="4314EFE5">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14C5E3FE">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52904AB0">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一</w:t>
            </w:r>
          </w:p>
          <w:p w14:paraId="02B49203">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5147E25B">
            <w:pPr>
              <w:pStyle w:val="6"/>
              <w:numPr>
                <w:ilvl w:val="0"/>
                <w:numId w:val="0"/>
              </w:numPr>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O2O 跨渠道定价与商品结构分析</w:t>
            </w:r>
          </w:p>
          <w:p w14:paraId="66F83A57">
            <w:pPr>
              <w:pStyle w:val="6"/>
              <w:numPr>
                <w:ilvl w:val="0"/>
                <w:numId w:val="0"/>
              </w:numPr>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商品定价：四大影响因素解读，成本加成、竞争、撇脂、渗透四种定价方法的计算逻辑与适用场景，O2O 跨渠道定价协同逻辑（线上引流价与线下利润价的平衡、跨渠道价格一致性原则）；</w:t>
            </w:r>
          </w:p>
          <w:p w14:paraId="2D155F65">
            <w:pPr>
              <w:pStyle w:val="6"/>
              <w:numPr>
                <w:ilvl w:val="0"/>
                <w:numId w:val="0"/>
              </w:numPr>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商品结构：五大商品矩阵的定位、特点，O2O 场景下商品结构互补策略（线上引流商品与线下体验商品的组合、跨渠道品类协同）；</w:t>
            </w:r>
          </w:p>
          <w:p w14:paraId="5FEB8C62">
            <w:pPr>
              <w:pStyle w:val="6"/>
              <w:numPr>
                <w:ilvl w:val="0"/>
                <w:numId w:val="0"/>
              </w:numPr>
              <w:spacing w:line="360" w:lineRule="exact"/>
              <w:jc w:val="both"/>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 结合校办企业商品数据，完成核心商品 O2O 跨渠道定价与商品结构优化分析。</w:t>
            </w:r>
          </w:p>
        </w:tc>
        <w:tc>
          <w:tcPr>
            <w:tcW w:w="3817" w:type="dxa"/>
            <w:noWrap w:val="0"/>
            <w:vAlign w:val="top"/>
          </w:tcPr>
          <w:p w14:paraId="6D852FA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讲解商品定价与商品结构的核心知识点，结合案例直观展示定价方法的计算过程、O2O 跨渠道定价协同逻辑与商品矩阵的应用逻辑；</w:t>
            </w:r>
          </w:p>
          <w:p w14:paraId="399C181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【案例分析】</w:t>
            </w:r>
            <w:r>
              <w:rPr>
                <w:rFonts w:hint="eastAsia" w:ascii="仿宋" w:hAnsi="仿宋" w:eastAsia="仿宋" w:cs="仿宋"/>
                <w:color w:val="000000"/>
                <w:kern w:val="0"/>
                <w:sz w:val="21"/>
                <w:szCs w:val="21"/>
                <w:lang w:val="en-US" w:eastAsia="zh-CN" w:bidi="ar"/>
              </w:rPr>
              <w:t>结合瑞幸咖啡 “线上优惠券引流 + 线下到店核销”、奶茶店 “线上团购价 + 线下加价购” 案例，分析 O2O 跨渠道定价与商品组合的成功逻辑；</w:t>
            </w:r>
          </w:p>
          <w:p w14:paraId="4816F34F">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【发起讨论】</w:t>
            </w:r>
            <w:r>
              <w:rPr>
                <w:rFonts w:hint="eastAsia" w:ascii="仿宋" w:hAnsi="仿宋" w:eastAsia="仿宋" w:cs="仿宋"/>
                <w:color w:val="000000"/>
                <w:kern w:val="0"/>
                <w:sz w:val="21"/>
                <w:szCs w:val="21"/>
                <w:lang w:val="en-US" w:eastAsia="zh-CN" w:bidi="ar"/>
              </w:rPr>
              <w:t>“校办企业的奶茶 / 时令水果，应如何设计线上线下协同定价方案？现有商品结构中线上线下商品的互补性存在什么问题？”，引导学生结合数据思考；</w:t>
            </w:r>
          </w:p>
          <w:p w14:paraId="387EAAF1">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【巡回指导】了</w:t>
            </w:r>
            <w:r>
              <w:rPr>
                <w:rFonts w:hint="eastAsia" w:ascii="仿宋" w:hAnsi="仿宋" w:eastAsia="仿宋" w:cs="仿宋"/>
                <w:color w:val="000000"/>
                <w:kern w:val="0"/>
                <w:sz w:val="21"/>
                <w:szCs w:val="21"/>
                <w:lang w:val="en-US" w:eastAsia="zh-CN" w:bidi="ar"/>
              </w:rPr>
              <w:t>解学生思考进度，解答定价计算、商品结构分析的疑问，引导学生结合客群消费能力与 O2O 业务逻辑优化方案。</w:t>
            </w:r>
          </w:p>
          <w:p w14:paraId="296272F3">
            <w:pPr>
              <w:spacing w:line="360" w:lineRule="exact"/>
              <w:jc w:val="left"/>
              <w:rPr>
                <w:rFonts w:hint="eastAsia" w:ascii="仿宋" w:hAnsi="仿宋" w:eastAsia="仿宋" w:cs="仿宋"/>
                <w:color w:val="000000"/>
                <w:kern w:val="0"/>
                <w:sz w:val="21"/>
                <w:szCs w:val="21"/>
                <w:lang w:val="en-US" w:eastAsia="zh-CN" w:bidi="ar"/>
              </w:rPr>
            </w:pPr>
          </w:p>
        </w:tc>
        <w:tc>
          <w:tcPr>
            <w:tcW w:w="2892" w:type="dxa"/>
            <w:noWrap w:val="0"/>
            <w:vAlign w:val="top"/>
          </w:tcPr>
          <w:p w14:paraId="06BA81DC">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】结合所讲的知识点和案例，小组讨论并汇报老师提出的问题，梳理全渠道三大特征与渠道类型的核心特点；</w:t>
            </w:r>
          </w:p>
          <w:p w14:paraId="44B08867">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【对比分析】</w:t>
            </w:r>
          </w:p>
          <w:p w14:paraId="146999E6">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小组协作完成全渠道与多渠道零售的差异对比表，深化知识理解；</w:t>
            </w:r>
          </w:p>
          <w:p w14:paraId="16863D69">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【渠道分析】</w:t>
            </w:r>
          </w:p>
          <w:p w14:paraId="77789A86">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结合课前调研结果，分析校办企业各门店适配的全渠道类型，说明选择理由并形成初步分析结果。</w:t>
            </w:r>
          </w:p>
        </w:tc>
        <w:tc>
          <w:tcPr>
            <w:tcW w:w="3150" w:type="dxa"/>
            <w:noWrap w:val="0"/>
            <w:vAlign w:val="top"/>
          </w:tcPr>
          <w:p w14:paraId="588D4074">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color w:val="000000"/>
                <w:kern w:val="0"/>
                <w:sz w:val="21"/>
                <w:szCs w:val="21"/>
                <w:lang w:val="en-US" w:eastAsia="zh-CN" w:bidi="ar"/>
              </w:rPr>
              <w:t>（1）通过案例展示与实操设计，让学生掌握 O2O 跨渠道定价与商品结构分析的核心方法，贴合教学重点；</w:t>
            </w:r>
          </w:p>
          <w:p w14:paraId="740C337E">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（2）通过小组讨论与方案设计，锻炼学生的逻辑思维与数据应用能力，深化对知识的理解；</w:t>
            </w:r>
          </w:p>
          <w:p w14:paraId="0573C235">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（3）结合校办企业实际数据，实现知识与课堂任务的初步衔接。</w:t>
            </w:r>
          </w:p>
          <w:p w14:paraId="618FCD36">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0F1102A2">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诚信经营：引导学生制定线上线下价格透明、一致的定价方案，既保证企业效益又贴合消费者承受能力，树立诚信定价的商业伦理；</w:t>
            </w:r>
          </w:p>
          <w:p w14:paraId="11A0A35C">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创新竞争：通过 O2O 跨渠道定价与商品组合创新，培养学生结合市场环境进行创新运营的竞争意识；</w:t>
            </w:r>
          </w:p>
          <w:p w14:paraId="60F0F952">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务实经营：通过商品结构优化，培养学生关注跨渠道组合效益、务实规划的职业素养；</w:t>
            </w:r>
          </w:p>
          <w:p w14:paraId="782B917D">
            <w:pPr>
              <w:keepNext w:val="0"/>
              <w:keepLines w:val="0"/>
              <w:widowControl/>
              <w:suppressLineNumbers w:val="0"/>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绿色运营：引导学生在商品结构优化中考虑低碳环保商品的配置，培育可持续发展理念。</w:t>
            </w:r>
          </w:p>
        </w:tc>
      </w:tr>
      <w:tr w14:paraId="60E2DDD1">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458D591B">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36313AD6">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二</w:t>
            </w:r>
          </w:p>
          <w:p w14:paraId="0599C471">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20分钟</w:t>
            </w:r>
          </w:p>
        </w:tc>
        <w:tc>
          <w:tcPr>
            <w:tcW w:w="2942" w:type="dxa"/>
            <w:noWrap w:val="0"/>
            <w:vAlign w:val="top"/>
          </w:tcPr>
          <w:p w14:paraId="6E0B4CD0">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O2O 全链路销售漏斗拆解与利润核算实操</w:t>
            </w:r>
          </w:p>
          <w:p w14:paraId="476483B8">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销售漏斗模型：O2O 全链路销售漏斗（线上曝光→点击→线下到店→咨询→下单→复购）的转化逻辑，各环节转化率计算方法，跨渠道转化痛点识别技巧；</w:t>
            </w:r>
          </w:p>
          <w:p w14:paraId="66E03E96">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利润核算：O2O 场景下平台佣金、履约成本（自提 / 配送）、促销补贴等特殊成本的核算规则，跨渠道利润分摊逻辑，毛利润、净利润的完整计算流程；</w:t>
            </w:r>
          </w:p>
          <w:p w14:paraId="0DF60418">
            <w:pPr>
              <w:pStyle w:val="6"/>
              <w:spacing w:line="360" w:lineRule="exact"/>
              <w:jc w:val="both"/>
              <w:rPr>
                <w:rFonts w:ascii="微软雅黑" w:hAnsi="微软雅黑" w:eastAsia="微软雅黑"/>
                <w:sz w:val="21"/>
                <w:szCs w:val="21"/>
              </w:rPr>
            </w:pPr>
            <w:r>
              <w:rPr>
                <w:rFonts w:hint="eastAsia" w:ascii="微软雅黑" w:hAnsi="微软雅黑" w:eastAsia="微软雅黑"/>
                <w:sz w:val="21"/>
                <w:szCs w:val="21"/>
                <w:lang w:val="en-US" w:eastAsia="zh-CN"/>
              </w:rPr>
              <w:t>3. 结合校办企业 O2O 销售数据，完成全链路销售漏斗拆解与典型订单利润核算。</w:t>
            </w:r>
          </w:p>
        </w:tc>
        <w:tc>
          <w:tcPr>
            <w:tcW w:w="3817" w:type="dxa"/>
            <w:noWrap w:val="0"/>
            <w:vAlign w:val="top"/>
          </w:tcPr>
          <w:p w14:paraId="3E953C4D">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】讲解 O2O 全链路销售漏斗与利润核算的核心知识点，结合案例视频展示漏斗拆解与利润核算的实际流程；</w:t>
            </w:r>
          </w:p>
          <w:p w14:paraId="7A89BA27">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【案例分析】</w:t>
            </w:r>
            <w:r>
              <w:rPr>
                <w:rFonts w:hint="eastAsia" w:ascii="仿宋" w:hAnsi="仿宋" w:eastAsia="仿宋" w:cs="仿宋"/>
                <w:color w:val="000000"/>
                <w:kern w:val="0"/>
                <w:sz w:val="21"/>
                <w:szCs w:val="21"/>
                <w:lang w:val="en-US" w:eastAsia="zh-CN" w:bidi="ar"/>
              </w:rPr>
              <w:t>结合校办企业 O2O 典型订单（如线上团购自提订单），详细拆解全链路漏斗转化率计算与利润核算的步骤，明确特殊成本的核算规则；</w:t>
            </w:r>
          </w:p>
          <w:p w14:paraId="4E175C0C">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【活动组织】</w:t>
            </w:r>
            <w:r>
              <w:rPr>
                <w:rFonts w:hint="eastAsia" w:ascii="仿宋" w:hAnsi="仿宋" w:eastAsia="仿宋" w:cs="仿宋"/>
                <w:color w:val="000000"/>
                <w:kern w:val="0"/>
                <w:sz w:val="21"/>
                <w:szCs w:val="21"/>
                <w:lang w:val="en-US" w:eastAsia="zh-CN" w:bidi="ar"/>
              </w:rPr>
              <w:t>布置小组任务，要求结合校办企业 O2O 销售数据拆解全链路销售漏斗（计算各环节转化率），完成 3-5 笔典型订单（含线上团购、配送、跨渠道核销）的利润核算；</w:t>
            </w:r>
          </w:p>
          <w:p w14:paraId="11CFBCD3">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【巡回指导】</w:t>
            </w:r>
            <w:r>
              <w:rPr>
                <w:rFonts w:hint="eastAsia" w:ascii="仿宋" w:hAnsi="仿宋" w:eastAsia="仿宋" w:cs="仿宋"/>
                <w:color w:val="000000"/>
                <w:kern w:val="0"/>
                <w:sz w:val="21"/>
                <w:szCs w:val="21"/>
                <w:lang w:val="en-US" w:eastAsia="zh-CN" w:bidi="ar"/>
              </w:rPr>
              <w:t>了解学生任务完成进度，提供 Excel 工具应用与数据处理技术支持，解答漏斗拆解与利润核算规则的疑问；</w:t>
            </w:r>
          </w:p>
          <w:p w14:paraId="01C380B6">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【作品点评】</w:t>
            </w:r>
            <w:r>
              <w:rPr>
                <w:rFonts w:hint="eastAsia" w:ascii="仿宋" w:hAnsi="仿宋" w:eastAsia="仿宋" w:cs="仿宋"/>
                <w:color w:val="000000"/>
                <w:kern w:val="0"/>
                <w:sz w:val="21"/>
                <w:szCs w:val="21"/>
                <w:lang w:val="en-US" w:eastAsia="zh-CN" w:bidi="ar"/>
              </w:rPr>
              <w:t>点评学生的漏斗拆解与利润核算成果，总结核心</w:t>
            </w:r>
            <w:r>
              <w:rPr>
                <w:rFonts w:hint="eastAsia" w:ascii="仿宋" w:hAnsi="仿宋" w:eastAsia="仿宋" w:cs="仿宋"/>
                <w:b/>
                <w:bCs/>
                <w:color w:val="000000"/>
                <w:kern w:val="0"/>
                <w:sz w:val="21"/>
                <w:szCs w:val="21"/>
                <w:lang w:val="en-US" w:eastAsia="zh-CN" w:bidi="ar"/>
              </w:rPr>
              <w:t>要点</w:t>
            </w:r>
            <w:r>
              <w:rPr>
                <w:rFonts w:hint="eastAsia" w:ascii="仿宋" w:hAnsi="仿宋" w:eastAsia="仿宋" w:cs="仿宋"/>
                <w:color w:val="000000"/>
                <w:kern w:val="0"/>
                <w:sz w:val="21"/>
                <w:szCs w:val="21"/>
                <w:lang w:val="en-US" w:eastAsia="zh-CN" w:bidi="ar"/>
              </w:rPr>
              <w:t>与易错点（如平台佣金计提基数、履约成本分摊）。。</w:t>
            </w:r>
          </w:p>
        </w:tc>
        <w:tc>
          <w:tcPr>
            <w:tcW w:w="2892" w:type="dxa"/>
            <w:noWrap w:val="0"/>
            <w:vAlign w:val="top"/>
          </w:tcPr>
          <w:p w14:paraId="3977C92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结合知识点与案例，小组讨论 O2O 全链路漏斗各环节转化逻辑与利润核算规则，明确数据处理方法；</w:t>
            </w:r>
          </w:p>
          <w:p w14:paraId="5B4F27FC">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【数据实操】</w:t>
            </w:r>
          </w:p>
          <w:p w14:paraId="450B7A08">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小组分工协作，使用 Excel 数据透视表、筛选等功能处理多渠道数据，计算全链路漏斗各环节转化率，识别转化痛点；按照核算流程完成典型订单的毛利润与净利润计算，识别 “跨渠道虚假繁荣” 的商品 / 订单；</w:t>
            </w:r>
          </w:p>
          <w:p w14:paraId="0CC1D8EE">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【成果展示】</w:t>
            </w:r>
          </w:p>
          <w:p w14:paraId="5E47A10D">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学生分组展示漏斗拆解结果与利润核算过程，说明转化痛点与 “跨渠道虚假繁荣” 的识别依据；</w:t>
            </w:r>
          </w:p>
          <w:p w14:paraId="3A226470">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【初步衔接】</w:t>
            </w:r>
          </w:p>
          <w:p w14:paraId="18620895">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结合漏斗痛点与利润核算结果，初步思考针对性的优化方向。</w:t>
            </w:r>
          </w:p>
        </w:tc>
        <w:tc>
          <w:tcPr>
            <w:tcW w:w="3150" w:type="dxa"/>
            <w:noWrap w:val="0"/>
            <w:vAlign w:val="top"/>
          </w:tcPr>
          <w:p w14:paraId="476DDF7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color w:val="000000"/>
                <w:kern w:val="0"/>
                <w:sz w:val="21"/>
                <w:szCs w:val="21"/>
                <w:lang w:val="en-US" w:eastAsia="zh-CN" w:bidi="ar"/>
              </w:rPr>
              <w:t>（1）通过案例讲解与数据实操，让学生掌握 O2O 全链路漏斗拆解与利润核算的核心方法，贴合教学重点；</w:t>
            </w:r>
          </w:p>
          <w:p w14:paraId="030E727A">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（2）通过数据实操，让学生将理论知识转化为数据处理能力，突破教学难点；</w:t>
            </w:r>
          </w:p>
          <w:p w14:paraId="76402315">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（3）结合校办企业实际数据，实现知识与课堂任务的深度衔接，为优化方案撰写打下基础。</w:t>
            </w:r>
          </w:p>
          <w:p w14:paraId="75699813">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738C7AA1">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数据驱动：通过 O2O 全渠道数据拆解与核算，培养学生以数据为依据识别问题的思维，树立数据驱动决策的运营理念；</w:t>
            </w:r>
          </w:p>
          <w:p w14:paraId="16E2E12A">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严谨细致：强调利润核算规则的准确性与数据处理的严谨性，培养学生求真务实、严谨细致的职业责任；</w:t>
            </w:r>
          </w:p>
          <w:p w14:paraId="046FCB53">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逻辑分析：通过 O2O 全链路漏斗拆解与利润层层核算，锻炼学生的系统思维与逻辑推理能力；</w:t>
            </w:r>
          </w:p>
          <w:p w14:paraId="0024D7AC">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成本效益：通过特殊成本核算与利润分析，强化学生关注全链路投入产出比的务实经营意识。</w:t>
            </w:r>
          </w:p>
        </w:tc>
      </w:tr>
      <w:tr w14:paraId="5C3BCDD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2431A39B">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770720EE">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三</w:t>
            </w:r>
          </w:p>
          <w:p w14:paraId="09BDBD73">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20分钟</w:t>
            </w:r>
          </w:p>
        </w:tc>
        <w:tc>
          <w:tcPr>
            <w:tcW w:w="2942" w:type="dxa"/>
            <w:noWrap w:val="0"/>
            <w:vAlign w:val="top"/>
          </w:tcPr>
          <w:p w14:paraId="1B8EF0B6">
            <w:pPr>
              <w:pStyle w:val="6"/>
              <w:spacing w:line="360" w:lineRule="exact"/>
              <w:jc w:val="both"/>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O2O 商品运营数据优化方案设计</w:t>
            </w:r>
          </w:p>
          <w:p w14:paraId="55B84BD4">
            <w:pPr>
              <w:pStyle w:val="6"/>
              <w:spacing w:line="360" w:lineRule="exact"/>
              <w:jc w:val="both"/>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 优化方案设计逻辑：针对 O2O 跨渠道定价、商品结构、全链路漏斗、利润核算中发现的问题，制定针对性优化策略；</w:t>
            </w:r>
          </w:p>
          <w:p w14:paraId="6762281B">
            <w:pPr>
              <w:pStyle w:val="6"/>
              <w:spacing w:line="360" w:lineRule="exact"/>
              <w:jc w:val="both"/>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2. 优化策略类型：定价调整（如线上引流价优化、线下加价购规则调整）、商品组合优化（如跨渠道品类互补、绿色商品引入）、漏斗转化提升（如线上曝光优化、线下到店核销激励）、利润提升（如特殊成本控制、高利润商品跨渠道推广）；</w:t>
            </w:r>
          </w:p>
          <w:p w14:paraId="0885F55C">
            <w:pPr>
              <w:pStyle w:val="6"/>
              <w:spacing w:line="360" w:lineRule="exact"/>
              <w:jc w:val="both"/>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3. 结合校办企业实际，整合前期分析结果，撰写完整的 O2O 商品运营数据优化方案。</w:t>
            </w:r>
          </w:p>
        </w:tc>
        <w:tc>
          <w:tcPr>
            <w:tcW w:w="3817" w:type="dxa"/>
            <w:noWrap w:val="0"/>
            <w:vAlign w:val="top"/>
          </w:tcPr>
          <w:p w14:paraId="4E958C6F">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讲解优化方案的核心结构与设计逻辑，结合案例分析 O2O 场景下不同问题对应的优化策略；</w:t>
            </w:r>
          </w:p>
          <w:p w14:paraId="6DA20537">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【案例分析】</w:t>
            </w:r>
            <w:r>
              <w:rPr>
                <w:rFonts w:hint="eastAsia" w:ascii="仿宋" w:hAnsi="仿宋" w:eastAsia="仿宋" w:cs="仿宋"/>
                <w:color w:val="000000"/>
                <w:kern w:val="0"/>
                <w:sz w:val="21"/>
                <w:szCs w:val="21"/>
                <w:lang w:val="en-US" w:eastAsia="zh-CN" w:bidi="ar"/>
              </w:rPr>
              <w:t>结合电商企业 O2O 商品运营数据优化成功案例，分析定价调整、商品结构优化、漏斗转化提升的实际效果；</w:t>
            </w:r>
          </w:p>
          <w:p w14:paraId="5ADF1978">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【活动组织】</w:t>
            </w:r>
            <w:r>
              <w:rPr>
                <w:rFonts w:hint="eastAsia" w:ascii="仿宋" w:hAnsi="仿宋" w:eastAsia="仿宋" w:cs="仿宋"/>
                <w:color w:val="000000"/>
                <w:kern w:val="0"/>
                <w:sz w:val="21"/>
                <w:szCs w:val="21"/>
                <w:lang w:val="en-US" w:eastAsia="zh-CN" w:bidi="ar"/>
              </w:rPr>
              <w:t>布置小组任务，要求整合 O2O 定价设计、商品结构优化、漏斗拆解、利润核算结果，撰写校办企业 O2O 商品运营数据优化方案，明确优化目标、措施、实施步骤与预期效果；</w:t>
            </w:r>
          </w:p>
          <w:p w14:paraId="667C9898">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【巡回指导】</w:t>
            </w:r>
            <w:r>
              <w:rPr>
                <w:rFonts w:hint="eastAsia" w:ascii="仿宋" w:hAnsi="仿宋" w:eastAsia="仿宋" w:cs="仿宋"/>
                <w:color w:val="000000"/>
                <w:kern w:val="0"/>
                <w:sz w:val="21"/>
                <w:szCs w:val="21"/>
                <w:lang w:val="en-US" w:eastAsia="zh-CN" w:bidi="ar"/>
              </w:rPr>
              <w:t>了解学生任务完成进度，为方案设计提供思路支持，解答优化措施落地性的疑问；</w:t>
            </w:r>
          </w:p>
        </w:tc>
        <w:tc>
          <w:tcPr>
            <w:tcW w:w="2892" w:type="dxa"/>
            <w:noWrap w:val="0"/>
            <w:vAlign w:val="top"/>
          </w:tcPr>
          <w:p w14:paraId="05FE233A">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】结合前期分析结果，小组讨论校办企业 O2O 商品运营的核心问题与优先级，明确优化方向与具体措施；</w:t>
            </w:r>
          </w:p>
          <w:p w14:paraId="24B4168E">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【方案撰写】</w:t>
            </w:r>
          </w:p>
          <w:p w14:paraId="79309A3E">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小组分工协作，整合所有分析成果，撰写优化方案，明确各优化措施的实施步骤、责任分工、资源需求与预期效果（如转化率提升目标、利润增长目标）；</w:t>
            </w:r>
          </w:p>
          <w:p w14:paraId="5209D1FB">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【初稿打磨】</w:t>
            </w:r>
          </w:p>
          <w:p w14:paraId="37B87F0A">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对方案进行内部审核，确保数据准确、逻辑清晰、措施可落地，形成方案初稿。</w:t>
            </w:r>
          </w:p>
        </w:tc>
        <w:tc>
          <w:tcPr>
            <w:tcW w:w="3150" w:type="dxa"/>
            <w:noWrap w:val="0"/>
            <w:vAlign w:val="top"/>
          </w:tcPr>
          <w:p w14:paraId="4B63DF42">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color w:val="000000"/>
                <w:kern w:val="0"/>
                <w:sz w:val="21"/>
                <w:szCs w:val="21"/>
                <w:lang w:val="en-US" w:eastAsia="zh-CN" w:bidi="ar"/>
              </w:rPr>
              <w:t>通过案例分析，让学生理解 O2O 优化方案的设计逻辑与落地要点，贴合教学重点；</w:t>
            </w:r>
          </w:p>
          <w:p w14:paraId="2C4677DD">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（2）通过方案撰写，让学生将分散的数据分析成果整合为系统的解决方案，实现知识的系统应用；</w:t>
            </w:r>
          </w:p>
          <w:p w14:paraId="6CB10895">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（3）完成课堂任务核心环节，形成完整的教学成果。</w:t>
            </w:r>
          </w:p>
          <w:p w14:paraId="4284D62A">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7B77823E">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解决问题：培养学生针对 O2O 数据分析发现的问题，制定切实可行解决方案的职业能力；</w:t>
            </w:r>
          </w:p>
          <w:p w14:paraId="35014AEB">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系统思维：通过方案的统筹设计，培养学生整体规划、系统优化的职业思维；</w:t>
            </w:r>
          </w:p>
          <w:p w14:paraId="06AF7D1C">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责任担当：让学生认识到优化方案对企业 O2O 业务运营的影响，激发学生的职业责任与使命感；</w:t>
            </w:r>
          </w:p>
          <w:p w14:paraId="37FAE4AE">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绿色运营：引导学生在方案中融入绿色商品推广、高效履约等优化措施，践行可持续发展理念。</w:t>
            </w:r>
          </w:p>
        </w:tc>
      </w:tr>
      <w:tr w14:paraId="1AAFD4AB">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3C252534">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学生互评</w:t>
            </w:r>
          </w:p>
          <w:p w14:paraId="415752D6">
            <w:pPr>
              <w:pStyle w:val="6"/>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6694E890">
            <w:pPr>
              <w:pStyle w:val="6"/>
              <w:spacing w:line="360" w:lineRule="exact"/>
              <w:jc w:val="both"/>
              <w:rPr>
                <w:rFonts w:hint="eastAsia" w:ascii="微软雅黑" w:hAnsi="微软雅黑" w:eastAsia="微软雅黑"/>
                <w:b/>
                <w:bCs/>
                <w:sz w:val="21"/>
                <w:szCs w:val="21"/>
                <w:lang w:val="en-US" w:eastAsia="zh-CN"/>
              </w:rPr>
            </w:pPr>
            <w:r>
              <w:rPr>
                <w:rFonts w:hint="eastAsia" w:ascii="微软雅黑" w:hAnsi="微软雅黑" w:eastAsia="微软雅黑"/>
                <w:sz w:val="21"/>
                <w:szCs w:val="21"/>
                <w:lang w:val="en-US" w:eastAsia="zh-CN"/>
              </w:rPr>
              <w:t>组织小组展示 O2O 商品运营数据优化方案初稿，引导学生互评，提炼亮点与不足，完善设计方案</w:t>
            </w:r>
          </w:p>
        </w:tc>
        <w:tc>
          <w:tcPr>
            <w:tcW w:w="3817" w:type="dxa"/>
            <w:noWrap w:val="0"/>
            <w:vAlign w:val="top"/>
          </w:tcPr>
          <w:p w14:paraId="143CA60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点评总结</w:t>
            </w:r>
            <w:r>
              <w:rPr>
                <w:rFonts w:hint="eastAsia" w:ascii="仿宋" w:hAnsi="仿宋" w:eastAsia="仿宋" w:cs="仿宋"/>
                <w:color w:val="000000"/>
                <w:kern w:val="0"/>
                <w:sz w:val="21"/>
                <w:szCs w:val="21"/>
                <w:lang w:val="en-US" w:eastAsia="zh-CN" w:bidi="ar"/>
              </w:rPr>
              <w:t>】</w:t>
            </w:r>
          </w:p>
          <w:p w14:paraId="1C1BE5B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组织各小组依次展示方案初稿，引导其他小组从 “数据准确性、问题定位精准性、措施落地性、O2O 场景适配性、预期效果合理性” 五个维度进行提问与点评；梳理各小组成果的亮点与共性问题，进行针对性指导，重点强调数据支撑、跨渠道协同与措施落地性。。</w:t>
            </w:r>
          </w:p>
        </w:tc>
        <w:tc>
          <w:tcPr>
            <w:tcW w:w="2892" w:type="dxa"/>
            <w:noWrap w:val="0"/>
            <w:vAlign w:val="top"/>
          </w:tcPr>
          <w:p w14:paraId="4D7C0464">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作品展示</w:t>
            </w:r>
            <w:r>
              <w:rPr>
                <w:rFonts w:hint="eastAsia" w:ascii="仿宋" w:hAnsi="仿宋" w:eastAsia="仿宋" w:cs="仿宋"/>
                <w:color w:val="000000"/>
                <w:kern w:val="0"/>
                <w:sz w:val="21"/>
                <w:szCs w:val="21"/>
                <w:lang w:val="en-US" w:eastAsia="zh-CN" w:bidi="ar"/>
              </w:rPr>
              <w:t>】</w:t>
            </w:r>
          </w:p>
          <w:p w14:paraId="4AD8270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小组派代表展示方案初稿，讲解 O2O 数据分析过程、核心问题、优化措施与预期效果，接受其他小组提问与点评；</w:t>
            </w:r>
          </w:p>
          <w:p w14:paraId="3D50B990">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【参与互评】</w:t>
            </w:r>
          </w:p>
          <w:p w14:paraId="06AA7C4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按照评价维度对其他小组的成果进行点评与打分，提炼优秀的数据分析方法与 O2O 优化思路；</w:t>
            </w:r>
          </w:p>
          <w:p w14:paraId="60A8644C">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【修改完善】</w:t>
            </w:r>
          </w:p>
          <w:p w14:paraId="575EFB7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结合互评意见与教师指导，修改完善本组的 O2O 商品运营数据优化方案，形成最终版。</w:t>
            </w:r>
          </w:p>
        </w:tc>
        <w:tc>
          <w:tcPr>
            <w:tcW w:w="3150" w:type="dxa"/>
            <w:noWrap w:val="0"/>
            <w:vAlign w:val="top"/>
          </w:tcPr>
          <w:p w14:paraId="36C70C9C">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color w:val="000000"/>
                <w:kern w:val="0"/>
                <w:sz w:val="21"/>
                <w:szCs w:val="21"/>
                <w:lang w:val="en-US" w:eastAsia="zh-CN" w:bidi="ar"/>
              </w:rPr>
              <w:t>锻炼学生的表达沟通能力、临场应变能力与批判性思维，在集体智慧中深化认知，完善设计方案。</w:t>
            </w:r>
          </w:p>
          <w:p w14:paraId="77605CC1">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53AEECCA">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公平竞争：营造公平竞争、相互学习、共同进步的课堂氛围，培养学生的包容与学习意识；</w:t>
            </w:r>
          </w:p>
          <w:p w14:paraId="31307EBE">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精益求精：通过互评与修改，培养学生不断优化、追求完美的工匠精神与职业素养；</w:t>
            </w:r>
          </w:p>
          <w:p w14:paraId="50D7868C">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团队协作：认可小组协作的成果，强化学生的团队合作意识与集体荣誉感。</w:t>
            </w:r>
          </w:p>
        </w:tc>
      </w:tr>
      <w:tr w14:paraId="5A5DC3B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01FBD7FD">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总结升华</w:t>
            </w:r>
          </w:p>
          <w:p w14:paraId="34A25620">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7BCD3B09">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梳理本课核心知识（O2O 跨渠道定价、商品结构优化、全链路漏斗、利润核算、优化方案设计）；</w:t>
            </w:r>
          </w:p>
          <w:p w14:paraId="63025B17">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提炼本课核心思想：O2O 商品运营的核心是 “全渠道数据驱动、跨渠道协同、成本效益并重、精准优化落地”；</w:t>
            </w:r>
          </w:p>
          <w:p w14:paraId="1CE9132A">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3. 结合行业趋势，提出电商专业学生 O2O 数据分析师能力的提升方向与学习建议。</w:t>
            </w:r>
          </w:p>
        </w:tc>
        <w:tc>
          <w:tcPr>
            <w:tcW w:w="3817" w:type="dxa"/>
            <w:noWrap w:val="0"/>
            <w:vAlign w:val="top"/>
          </w:tcPr>
          <w:p w14:paraId="7AF2F432">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【课堂总结】</w:t>
            </w:r>
            <w:r>
              <w:rPr>
                <w:rFonts w:hint="eastAsia" w:ascii="仿宋" w:hAnsi="仿宋" w:eastAsia="仿宋" w:cs="仿宋"/>
                <w:i w:val="0"/>
                <w:iCs w:val="0"/>
                <w:caps w:val="0"/>
                <w:color w:val="0F1115"/>
                <w:spacing w:val="0"/>
                <w:sz w:val="21"/>
                <w:szCs w:val="21"/>
                <w:shd w:val="clear" w:fill="FFFFFF"/>
              </w:rPr>
              <w:br w:type="textWrapping"/>
            </w:r>
            <w:r>
              <w:rPr>
                <w:rFonts w:hint="eastAsia" w:ascii="仿宋" w:hAnsi="仿宋" w:eastAsia="仿宋" w:cs="仿宋"/>
                <w:color w:val="000000"/>
                <w:kern w:val="0"/>
                <w:sz w:val="21"/>
                <w:szCs w:val="21"/>
                <w:lang w:val="en-US" w:eastAsia="zh-CN" w:bidi="ar"/>
              </w:rPr>
              <w:t>以思维导图形式梳理本课核心知识框架，强调教学重点与难点；总结本课核心思想，点明全渠道数据在 O2O 商品运营中的核心价值，以及严谨细致、务实经营、绿色运营的重要性；结合新零售 O2O 数据化运营的发展趋势（如 AI 数据预测、全渠道数据中台），提出电商专业学生需注重的数据处理、逻辑分析、方案设计、绿色运营等核心能力的提升方向与学习建议。</w:t>
            </w:r>
          </w:p>
        </w:tc>
        <w:tc>
          <w:tcPr>
            <w:tcW w:w="2892" w:type="dxa"/>
            <w:noWrap w:val="0"/>
            <w:vAlign w:val="top"/>
          </w:tcPr>
          <w:p w14:paraId="64EF5FB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【聆听总结】</w:t>
            </w:r>
            <w:r>
              <w:rPr>
                <w:rFonts w:hint="eastAsia" w:ascii="仿宋" w:hAnsi="仿宋" w:eastAsia="仿宋" w:cs="仿宋"/>
                <w:color w:val="000000"/>
                <w:kern w:val="0"/>
                <w:sz w:val="21"/>
                <w:szCs w:val="21"/>
                <w:lang w:val="en-US" w:eastAsia="zh-CN" w:bidi="ar"/>
              </w:rPr>
              <w:t>认真聆听教师总结，补充完善课堂笔记，搭建系统的 O2O 商品运营数据分析知识框架；</w:t>
            </w:r>
          </w:p>
          <w:p w14:paraId="3CCF93F6">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【反思提升】</w:t>
            </w:r>
          </w:p>
          <w:p w14:paraId="7D1CB06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结合本节课的学习与实践，反思自身在数据处理、逻辑分析、方案设计方面的不足，调整学习目标与方向。</w:t>
            </w:r>
          </w:p>
        </w:tc>
        <w:tc>
          <w:tcPr>
            <w:tcW w:w="3150" w:type="dxa"/>
            <w:noWrap w:val="0"/>
            <w:vAlign w:val="top"/>
          </w:tcPr>
          <w:p w14:paraId="2E03FE03">
            <w:pPr>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b w:val="0"/>
                <w:bCs w:val="0"/>
                <w:color w:val="000000"/>
                <w:kern w:val="0"/>
                <w:sz w:val="21"/>
                <w:szCs w:val="21"/>
                <w:lang w:val="en-US" w:eastAsia="zh-CN" w:bidi="ar"/>
              </w:rPr>
              <w:t>巩固学习成果，帮助学生搭建系统的 O2O 商品运营数据分析知识框架；引导学生从知识学习向能力提升、行业认知延伸，实现 “做中学、学中思”。</w:t>
            </w:r>
          </w:p>
          <w:p w14:paraId="6170BFA6">
            <w:pPr>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109B88AF">
            <w:pPr>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职业素养：明确电商专业学生 O2O 数据分析师的能力要求，培养学生的数据驱动、逻辑分析、务实经营、绿色运营的职业素养；</w:t>
            </w:r>
          </w:p>
          <w:p w14:paraId="787380A7">
            <w:pPr>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时代担当：让学生认识到 O2O 数据化运营是零售业转型升级的重要方向，激发学生的专业使命感与行业担当；</w:t>
            </w:r>
          </w:p>
          <w:p w14:paraId="03F452DD">
            <w:pPr>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b w:val="0"/>
                <w:bCs w:val="0"/>
                <w:color w:val="000000"/>
                <w:kern w:val="0"/>
                <w:sz w:val="21"/>
                <w:szCs w:val="21"/>
                <w:lang w:val="en-US" w:eastAsia="zh-CN" w:bidi="ar"/>
              </w:rPr>
              <w:t>终身学习：引导学生关注数据技术与 O2O 运营方法的行业趋势，树立持续学习、紧跟行业发展的职业理念。</w:t>
            </w:r>
          </w:p>
        </w:tc>
      </w:tr>
      <w:tr w14:paraId="2A0AA47A">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top"/>
          </w:tcPr>
          <w:p w14:paraId="76592E6D">
            <w:pPr>
              <w:adjustRightInd w:val="0"/>
              <w:snapToGrid w:val="0"/>
              <w:spacing w:line="360" w:lineRule="exact"/>
              <w:jc w:val="center"/>
              <w:rPr>
                <w:rFonts w:hint="eastAsia" w:ascii="仿宋" w:hAnsi="仿宋" w:eastAsia="仿宋" w:cs="仿宋"/>
                <w:color w:val="000000"/>
                <w:kern w:val="0"/>
                <w:sz w:val="21"/>
                <w:szCs w:val="21"/>
                <w:lang w:val="en-US" w:eastAsia="zh-CN" w:bidi="ar"/>
              </w:rPr>
            </w:pPr>
            <w:r>
              <w:rPr>
                <w:rFonts w:hint="eastAsia" w:ascii="仿宋" w:hAnsi="仿宋" w:eastAsia="仿宋" w:cs="仿宋"/>
                <w:b/>
                <w:color w:val="auto"/>
                <w:sz w:val="21"/>
                <w:szCs w:val="21"/>
                <w:lang w:val="en-US" w:eastAsia="zh-CN"/>
              </w:rPr>
              <w:t>课后</w:t>
            </w:r>
          </w:p>
        </w:tc>
      </w:tr>
      <w:tr w14:paraId="0BAF905D">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1226" w:hRule="atLeast"/>
          <w:jc w:val="center"/>
        </w:trPr>
        <w:tc>
          <w:tcPr>
            <w:tcW w:w="1203" w:type="dxa"/>
            <w:shd w:val="clear" w:color="auto" w:fill="C7DAF1"/>
            <w:noWrap w:val="0"/>
            <w:vAlign w:val="center"/>
          </w:tcPr>
          <w:p w14:paraId="31A61394">
            <w:pPr>
              <w:spacing w:line="360" w:lineRule="exact"/>
              <w:jc w:val="center"/>
              <w:rPr>
                <w:rFonts w:ascii="微软雅黑" w:hAnsi="微软雅黑" w:eastAsia="微软雅黑"/>
                <w:color w:val="auto"/>
                <w:kern w:val="0"/>
                <w:sz w:val="21"/>
                <w:szCs w:val="21"/>
              </w:rPr>
            </w:pPr>
            <w:r>
              <w:rPr>
                <w:rFonts w:hint="eastAsia" w:ascii="微软雅黑" w:hAnsi="微软雅黑" w:eastAsia="微软雅黑" w:cs="宋体"/>
                <w:b/>
                <w:bCs/>
                <w:color w:val="auto"/>
                <w:kern w:val="0"/>
                <w:sz w:val="21"/>
                <w:szCs w:val="21"/>
                <w:lang w:val="en-US" w:eastAsia="zh-CN" w:bidi="ar-SA"/>
              </w:rPr>
              <w:t>学以致用</w:t>
            </w:r>
          </w:p>
        </w:tc>
        <w:tc>
          <w:tcPr>
            <w:tcW w:w="2942" w:type="dxa"/>
            <w:noWrap w:val="0"/>
            <w:vAlign w:val="top"/>
          </w:tcPr>
          <w:p w14:paraId="567F5654">
            <w:pPr>
              <w:numPr>
                <w:ilvl w:val="0"/>
                <w:numId w:val="0"/>
              </w:numPr>
              <w:spacing w:line="360" w:lineRule="exact"/>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1.完成并提交最终版校办企业 O2O 商品运营数据优化方案；</w:t>
            </w:r>
          </w:p>
          <w:p w14:paraId="62D27D2E">
            <w:pPr>
              <w:numPr>
                <w:ilvl w:val="0"/>
                <w:numId w:val="0"/>
              </w:numPr>
              <w:spacing w:line="360" w:lineRule="exact"/>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 完成线上课后测验、撰写学习反思，结合数据伦理与绿色运营规范进一步优化方案；</w:t>
            </w:r>
          </w:p>
          <w:p w14:paraId="4BD4463D">
            <w:pPr>
              <w:numPr>
                <w:ilvl w:val="0"/>
                <w:numId w:val="0"/>
              </w:numPr>
              <w:spacing w:line="360" w:lineRule="exact"/>
              <w:rPr>
                <w:rFonts w:hint="default"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3. 拓展实践：使用 Excel 数据透视表分析校办企业 O2O 跨渠道销售数据，生成 “线上线下销量占比”“各渠道利润率”“全链路转化率” 可视化图表，形成 200 字左右的数据分析简报。</w:t>
            </w:r>
          </w:p>
        </w:tc>
        <w:tc>
          <w:tcPr>
            <w:tcW w:w="3817" w:type="dxa"/>
            <w:noWrap w:val="0"/>
            <w:vAlign w:val="top"/>
          </w:tcPr>
          <w:p w14:paraId="0D0CD21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布置作业</w:t>
            </w:r>
            <w:r>
              <w:rPr>
                <w:rFonts w:hint="eastAsia" w:ascii="仿宋" w:hAnsi="仿宋" w:eastAsia="仿宋" w:cs="仿宋"/>
                <w:color w:val="000000"/>
                <w:kern w:val="0"/>
                <w:sz w:val="21"/>
                <w:szCs w:val="21"/>
                <w:lang w:val="en-US" w:eastAsia="zh-CN" w:bidi="ar"/>
              </w:rPr>
              <w:t>】</w:t>
            </w:r>
            <w:r>
              <w:rPr>
                <w:rFonts w:hint="eastAsia" w:ascii="仿宋" w:hAnsi="仿宋" w:eastAsia="仿宋" w:cs="仿宋"/>
                <w:i w:val="0"/>
                <w:iCs w:val="0"/>
                <w:caps w:val="0"/>
                <w:color w:val="0F1115"/>
                <w:spacing w:val="0"/>
                <w:sz w:val="21"/>
                <w:szCs w:val="21"/>
                <w:shd w:val="clear" w:fill="FFFFFF"/>
              </w:rPr>
              <w:br w:type="textWrapping"/>
            </w:r>
            <w:r>
              <w:rPr>
                <w:rFonts w:hint="eastAsia" w:ascii="仿宋" w:hAnsi="仿宋" w:eastAsia="仿宋" w:cs="仿宋"/>
                <w:color w:val="000000"/>
                <w:kern w:val="0"/>
                <w:sz w:val="21"/>
                <w:szCs w:val="21"/>
                <w:lang w:val="en-US" w:eastAsia="zh-CN" w:bidi="ar"/>
              </w:rPr>
              <w:t>1. 通过学习平台发布、评价课后作业，收集学生学习反思，反思此次教学任务；</w:t>
            </w:r>
          </w:p>
          <w:p w14:paraId="5FC0BF3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在线讨论：“数据伦理与绿色运营视角下，O2O 商品运营数据分析应注意哪些问题？”；</w:t>
            </w:r>
          </w:p>
          <w:p w14:paraId="6B8F5C83">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【组织实训】</w:t>
            </w:r>
          </w:p>
          <w:p w14:paraId="3C5BFB7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发布拓展实践的操作指南与数据模板；</w:t>
            </w:r>
          </w:p>
          <w:p w14:paraId="17495F0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组织学生对拓展实践成果与优化后的方案进行线上交流与分享；</w:t>
            </w:r>
          </w:p>
          <w:p w14:paraId="7C47848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【教师评价】教师对学生课堂表现、作业成果、拓展实践进行综合评价，利用智慧平台进行 AI 辅助评价，结合双师意见给出最终评分。</w:t>
            </w:r>
          </w:p>
        </w:tc>
        <w:tc>
          <w:tcPr>
            <w:tcW w:w="2892" w:type="dxa"/>
            <w:noWrap w:val="0"/>
            <w:vAlign w:val="top"/>
          </w:tcPr>
          <w:p w14:paraId="663BC11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完成作业</w:t>
            </w:r>
            <w:r>
              <w:rPr>
                <w:rFonts w:hint="eastAsia" w:ascii="仿宋" w:hAnsi="仿宋" w:eastAsia="仿宋" w:cs="仿宋"/>
                <w:color w:val="000000"/>
                <w:kern w:val="0"/>
                <w:sz w:val="21"/>
                <w:szCs w:val="21"/>
                <w:lang w:val="en-US" w:eastAsia="zh-CN" w:bidi="ar"/>
              </w:rPr>
              <w:t>】完成线上课后测验、撰写学习反思，按时提交最终版方案，结合数据伦理与绿色运营规范优化方案；</w:t>
            </w:r>
          </w:p>
          <w:p w14:paraId="163C6E7C">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【课后实践】</w:t>
            </w:r>
          </w:p>
          <w:p w14:paraId="23AA4CB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使用 Excel 数据透视表处理 O2O 跨渠道数据，生成可视化图表，撰写数据分析简报；</w:t>
            </w:r>
          </w:p>
          <w:p w14:paraId="38C232F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参与线上讨论，分享对数据伦理、绿色运营与 O2O 商品运营数据分析的思考与见解；</w:t>
            </w:r>
          </w:p>
          <w:p w14:paraId="0C87B2B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【学生互评】学生在平台上对彼此的拓展实践成果、优化后方案进行互相评价与交流。</w:t>
            </w:r>
          </w:p>
        </w:tc>
        <w:tc>
          <w:tcPr>
            <w:tcW w:w="3150" w:type="dxa"/>
            <w:noWrap w:val="0"/>
            <w:vAlign w:val="top"/>
          </w:tcPr>
          <w:p w14:paraId="402532F2">
            <w:pPr>
              <w:keepNext w:val="0"/>
              <w:keepLines w:val="0"/>
              <w:widowControl/>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b w:val="0"/>
                <w:bCs w:val="0"/>
                <w:color w:val="000000"/>
                <w:kern w:val="0"/>
                <w:sz w:val="21"/>
                <w:szCs w:val="21"/>
                <w:lang w:val="en-US" w:eastAsia="zh-CN" w:bidi="ar"/>
              </w:rPr>
              <w:t>拓展学生能力，引导学生在 “做中学、学中思、思中悟”，实现知行合一；巩固课堂学习成果，提升学生的 O2O 数据分析、可视化与方案设计能力，培养学生关注数据伦理与绿色运营的习惯。</w:t>
            </w:r>
          </w:p>
          <w:p w14:paraId="44FD679C">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66926459">
            <w:pPr>
              <w:keepNext w:val="0"/>
              <w:keepLines w:val="0"/>
              <w:widowControl/>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数据伦理：通过线上讨论与方案优化，培养学生合规使用数据、保护数据安全的职业伦理；</w:t>
            </w:r>
          </w:p>
          <w:p w14:paraId="56F815D8">
            <w:pPr>
              <w:keepNext w:val="0"/>
              <w:keepLines w:val="0"/>
              <w:widowControl/>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绿色运营：通过拓展实践与方案优化，强化学生的绿色运营意识，践行可持续发展的行业责任；</w:t>
            </w:r>
          </w:p>
          <w:p w14:paraId="7F63223F">
            <w:pPr>
              <w:keepNext w:val="0"/>
              <w:keepLines w:val="0"/>
              <w:widowControl/>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实践精神：通过拓展实践，让学生深化理论联系实际的实践精神，提升 O2O 数据分析的实际应用能力；</w:t>
            </w:r>
          </w:p>
          <w:p w14:paraId="5F834A68">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责任担当：通过数据伦理思考与绿色运营实践，强化学生的职业责任意识，树立合规经营、诚信做事的职业理念。</w:t>
            </w:r>
          </w:p>
        </w:tc>
      </w:tr>
      <w:tr w14:paraId="206FC285">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center"/>
          </w:tcPr>
          <w:p w14:paraId="7D940B39">
            <w:pPr>
              <w:spacing w:line="360" w:lineRule="exact"/>
              <w:jc w:val="center"/>
              <w:rPr>
                <w:rFonts w:hint="default"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教学反思</w:t>
            </w:r>
          </w:p>
        </w:tc>
      </w:tr>
      <w:tr w14:paraId="56058778">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noWrap w:val="0"/>
            <w:vAlign w:val="center"/>
          </w:tcPr>
          <w:p w14:paraId="027A30D2">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一、教学效果</w:t>
            </w:r>
          </w:p>
          <w:p w14:paraId="441064A7">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全链路案例驱动与数据实操的教学方式有效激发了学生的学习主动性，O2O 数据分析与方案设计的结合提升了教学效果。通过本节课程的学习，学生在以下几个方面有了显著效果：（1）知识技能：从学生提交的方案与拓展简报来看，85% 以上的学生能准确掌握 O2O 跨渠道定价、商品结构优化、全链路漏斗拆解、利润核算的核心知识与方法，能独立完成 O2O 多渠道数据处理与分析，数据分析与方案设计能力得到显著提升；（2）职业素养：在数据实操与方案设计中，学生普遍体现出清晰的数据驱动思维、成本效益意识、严谨细致的职业态度与绿色运营理念，团队协作能力、表达沟通能力得到锻炼，实现了思政教育的 “盐溶于水”、职业素养内化于心；（3）学习成果丰硕：产生了多份数据准确、问题定位精准、措施可落地的 O2O 商品运营数据优化方案，学生的数据处理能力、O2O 业务认知与职业责任意识显著增强。</w:t>
            </w:r>
          </w:p>
          <w:p w14:paraId="035C9E39">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二、存在问题与改进建议</w:t>
            </w:r>
          </w:p>
          <w:p w14:paraId="0364DAE9">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 存在的问题：</w:t>
            </w:r>
          </w:p>
          <w:p w14:paraId="32D3D7CC">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（1）学生方面：部分学生对 O2O 跨渠道利润分摊规则理解不够准确，导致复杂订单核算结果出现偏差；少数学生的 Excel 高级功能应用不够熟练，影响了多渠道数据处理效率；个别学生的优化方案缺乏数据支撑，O2O 场景适配性不强。</w:t>
            </w:r>
          </w:p>
          <w:p w14:paraId="6BDF838D">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（2）教师方面：课堂时间有限，对学生的利润核算与方案设计的个性化指导不足；智慧教学平台的 O2O 商品运营数据模拟资源不够丰富，部分复杂场景（如跨渠道补贴分摊）的数据分析模拟内容有待补充；思政元素与 O2O 业务场景的融合点可进一步细化。</w:t>
            </w:r>
          </w:p>
          <w:p w14:paraId="4780FDD3">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 建议：</w:t>
            </w:r>
          </w:p>
          <w:p w14:paraId="3F3C28A0">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（1）开展 O2O 数据分析方案一对一指导与小组沙龙，帮助学生完善利润核算与优化方案，强化数据驱动思维与绿色运营理念；开设 Excel 高级功能与 O2O 利润核算模板实操工作坊，通过案例实操提升学生的数据处理技能；组织校办企业 O2O 商品运营数据分析实践项目，让学生将方案落地到实际运营中，积累实战经验。</w:t>
            </w:r>
          </w:p>
          <w:p w14:paraId="6A637D5D">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（2）需建设更完善的 “O2O 商品运营数据分析案例库” 与 “绿色运营 + 数据伦理思政元素地图”，将诚信经营、数据合规、绿色运营等思政元素更深入地融入数据分析的具体环节；优化课堂时间分配，增加利润核算与方案设计的个性化指导时间；丰富线上教学资源，补充更多复杂 O2O 场景的数据分析模拟内容，增加企业导师 O2O 数据分析实操答疑环节，提升资源的实用性与互动性。</w:t>
            </w:r>
            <w:bookmarkStart w:id="0" w:name="_GoBack"/>
            <w:bookmarkEnd w:id="0"/>
          </w:p>
        </w:tc>
      </w:tr>
    </w:tbl>
    <w:p w14:paraId="1E07DB6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C2C83"/>
    <w:rsid w:val="22BD0D1C"/>
    <w:rsid w:val="371D77C7"/>
    <w:rsid w:val="3D1D0C51"/>
    <w:rsid w:val="449A491B"/>
    <w:rsid w:val="6AFD7738"/>
    <w:rsid w:val="6E89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List Paragraph"/>
    <w:basedOn w:val="1"/>
    <w:qFormat/>
    <w:uiPriority w:val="34"/>
    <w:pPr>
      <w:ind w:firstLine="420" w:firstLineChars="200"/>
    </w:pPr>
  </w:style>
  <w:style w:type="paragraph" w:customStyle="1" w:styleId="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8327</Words>
  <Characters>8581</Characters>
  <Lines>0</Lines>
  <Paragraphs>0</Paragraphs>
  <TotalTime>200</TotalTime>
  <ScaleCrop>false</ScaleCrop>
  <LinksUpToDate>false</LinksUpToDate>
  <CharactersWithSpaces>8848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2026-03-05T10:49:00Z</dcterms:created>
  <dc:creator>Administrator</dc:creator>
  <cp:lastModifiedBy>锦</cp:lastModifiedBy>
  <dcterms:modified xsi:type="dcterms:W3CDTF">2026-03-06T08:49:02Z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eyJoZGlkIjoiZWMwNTQ5ZDQzNmE1YzJmOGQ0ZTEwMDc3OTFjYWE1MzEiLCJ1c2VySWQiOiIyMzY4NzkzODYifQ==</vt:lpwstr>
  </property>
  <property fmtid="{D5CDD505-2E9C-101B-9397-08002B2CF9AE}" pid="4" name="ICV">
    <vt:lpwstr>D0A3D9F50BD84E25AE745B93745C1320_13</vt:lpwstr>
  </property>
</Properties>
</file>