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i1025" o:spt="75" alt="日职标志标准字横排" type="#_x0000_t75" style="height:90.15pt;width:304.4pt;" filled="f" o:preferrelative="t" stroked="f" coordsize="21600,21600">
            <v:path/>
            <v:fill on="f" focussize="0,0"/>
            <v:stroke on="f"/>
            <v:imagedata r:id="rId4" o:title=""/>
            <o:lock v:ext="edit" aspectratio="t"/>
            <w10:wrap type="none"/>
            <w10:anchorlock/>
          </v:shape>
        </w:pict>
      </w:r>
    </w:p>
    <w:p/>
    <w:p>
      <w:r>
        <w:pict>
          <v:rect id="Rectangle 2" o:spid="_x0000_s1026" o:spt="1" style="position:absolute;left:0pt;margin-left:-63.85pt;margin-top:2.7pt;height:168.6pt;width:543.45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color2="#FFFFFF" focussize="0,0"/>
            <v:stroke on="f"/>
            <v:imagedata o:title=""/>
            <o:lock v:ext="edit" aspectratio="f"/>
          </v:rect>
        </w:pict>
      </w:r>
    </w:p>
    <w:p/>
    <w:p>
      <w:r>
        <w:pict>
          <v:shape id="TextBox 14" o:spid="_x0000_s1027" o:spt="202" type="#_x0000_t202" style="position:absolute;left:0pt;margin-left:-52.45pt;margin-top:3.45pt;height:203.8pt;width:506.1pt;z-index:251660288;mso-width-relative:page;mso-height-relative:page;" filled="f" stroked="f" coordsize="21600,21600"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v:path/>
            <v:fill on="f" focussize="0,0"/>
            <v:stroke on="f"/>
            <v:imagedata o:title=""/>
            <o:lock v:ext="edit" aspectratio="f"/>
            <v:textbox>
              <w:txbxContent>
                <w:p>
                  <w:pPr>
                    <w:pStyle w:val="3"/>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Hans"/>
                    </w:rPr>
                    <w:t>物流</w:t>
                  </w:r>
                  <w:r>
                    <w:rPr>
                      <w:rFonts w:hint="eastAsia" w:ascii="微软雅黑" w:eastAsia="微软雅黑"/>
                      <w:b/>
                      <w:color w:val="FFFFFF" w:themeColor="background1"/>
                      <w:kern w:val="24"/>
                      <w:sz w:val="84"/>
                      <w:szCs w:val="84"/>
                      <w:lang w:val="en-US" w:eastAsia="zh-CN"/>
                    </w:rPr>
                    <w:t>成本管理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单元设计</w:t>
                  </w:r>
                </w:p>
              </w:txbxContent>
            </v:textbox>
          </v:shape>
        </w:pict>
      </w:r>
    </w:p>
    <w:p/>
    <w:p/>
    <w:p/>
    <w:p/>
    <w:p/>
    <w:p/>
    <w:p/>
    <w:p/>
    <w:p/>
    <w:p/>
    <w:p/>
    <w:p/>
    <w:p/>
    <w:p/>
    <w:p/>
    <w:p/>
    <w:p/>
    <w:p/>
    <w:p/>
    <w:p/>
    <w:p/>
    <w:p>
      <w:pPr>
        <w:jc w:val="center"/>
        <w:rPr>
          <w:rFonts w:hint="eastAsia"/>
          <w:sz w:val="52"/>
          <w:szCs w:val="52"/>
          <w:lang w:val="en-US" w:eastAsia="zh-Hans"/>
        </w:rPr>
      </w:pPr>
      <w:bookmarkStart w:id="0" w:name="_GoBack"/>
      <w:r>
        <w:rPr>
          <w:rFonts w:hint="default"/>
          <w:sz w:val="52"/>
          <w:szCs w:val="52"/>
          <w:lang w:val="en-US"/>
        </w:rPr>
        <w:pict>
          <v:shape id="_x0000_s1028" o:spid="_x0000_s1028" o:spt="75" alt="地滋楼速写1" type="#_x0000_t75" style="position:absolute;left:0pt;margin-left:-34.4pt;margin-top:106.5pt;height:214.9pt;width:595.15pt;z-index:-251655168;mso-width-relative:page;mso-height-relative:page;" filled="f" o:preferrelative="t" stroked="f" coordsize="21600,21600">
            <v:path/>
            <v:fill on="f" focussize="0,0"/>
            <v:stroke on="f"/>
            <v:imagedata r:id="rId5" o:title=""/>
            <o:lock v:ext="edit" aspectratio="t"/>
          </v:shape>
        </w:pict>
      </w:r>
      <w:bookmarkEnd w:id="0"/>
      <w:r>
        <w:rPr>
          <w:rFonts w:hint="eastAsia"/>
          <w:sz w:val="52"/>
          <w:szCs w:val="52"/>
          <w:lang w:val="en-US" w:eastAsia="zh-Hans"/>
        </w:rPr>
        <w:t>商学系</w:t>
      </w: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jc w:val="center"/>
        <w:rPr>
          <w:rFonts w:ascii="仿宋" w:hAnsi="仿宋" w:eastAsia="仿宋" w:cs="仿宋"/>
          <w:b/>
          <w:bCs/>
          <w:w w:val="90"/>
          <w:sz w:val="36"/>
        </w:rPr>
      </w:pPr>
      <w:r>
        <w:rPr>
          <w:rFonts w:ascii="仿宋" w:hAnsi="仿宋" w:eastAsia="仿宋" w:cs="仿宋"/>
          <w:b/>
          <w:w w:val="90"/>
          <w:sz w:val="36"/>
          <w:szCs w:val="36"/>
        </w:rPr>
        <w:br w:type="page"/>
      </w:r>
      <w:r>
        <w:rPr>
          <w:rFonts w:hint="eastAsia" w:ascii="仿宋" w:hAnsi="仿宋" w:eastAsia="仿宋" w:cs="仿宋"/>
          <w:b/>
          <w:w w:val="90"/>
          <w:sz w:val="36"/>
          <w:szCs w:val="36"/>
        </w:rPr>
        <w:t>《</w:t>
      </w:r>
      <w:r>
        <w:rPr>
          <w:rFonts w:hint="eastAsia" w:ascii="仿宋" w:hAnsi="仿宋" w:eastAsia="仿宋" w:cs="仿宋"/>
          <w:b/>
          <w:bCs/>
          <w:w w:val="90"/>
          <w:sz w:val="36"/>
        </w:rPr>
        <w:t>物流成本管理》课程单元教学设计</w:t>
      </w:r>
    </w:p>
    <w:p>
      <w:pPr>
        <w:jc w:val="center"/>
        <w:rPr>
          <w:rFonts w:ascii="仿宋" w:hAnsi="仿宋" w:eastAsia="仿宋" w:cs="仿宋"/>
          <w:w w:val="90"/>
          <w:sz w:val="32"/>
        </w:rPr>
      </w:pPr>
    </w:p>
    <w:tbl>
      <w:tblPr>
        <w:tblStyle w:val="4"/>
        <w:tblW w:w="8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540"/>
        <w:gridCol w:w="1913"/>
        <w:gridCol w:w="2525"/>
        <w:gridCol w:w="4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4253" w:type="dxa"/>
            <w:gridSpan w:val="4"/>
            <w:vMerge w:val="restart"/>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单元标题：分析物流成本本</w:t>
            </w:r>
            <w:r>
              <w:rPr>
                <w:rFonts w:ascii="仿宋" w:hAnsi="仿宋" w:eastAsia="仿宋" w:cs="仿宋"/>
                <w:b/>
                <w:sz w:val="28"/>
                <w:szCs w:val="28"/>
              </w:rPr>
              <w:t>-</w:t>
            </w:r>
            <w:r>
              <w:rPr>
                <w:rFonts w:hint="eastAsia" w:ascii="仿宋" w:hAnsi="仿宋" w:eastAsia="仿宋" w:cs="仿宋"/>
                <w:b/>
                <w:sz w:val="28"/>
                <w:szCs w:val="28"/>
              </w:rPr>
              <w:t>量</w:t>
            </w:r>
            <w:r>
              <w:rPr>
                <w:rFonts w:ascii="仿宋" w:hAnsi="仿宋" w:eastAsia="仿宋" w:cs="仿宋"/>
                <w:b/>
                <w:sz w:val="28"/>
                <w:szCs w:val="28"/>
              </w:rPr>
              <w:t>-</w:t>
            </w:r>
            <w:r>
              <w:rPr>
                <w:rFonts w:hint="eastAsia" w:ascii="仿宋" w:hAnsi="仿宋" w:eastAsia="仿宋" w:cs="仿宋"/>
                <w:b/>
                <w:sz w:val="28"/>
                <w:szCs w:val="28"/>
              </w:rPr>
              <w:t>利</w:t>
            </w: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单元教学学时</w:t>
            </w:r>
          </w:p>
        </w:tc>
        <w:tc>
          <w:tcPr>
            <w:tcW w:w="1605" w:type="dxa"/>
            <w:vAlign w:val="center"/>
          </w:tcPr>
          <w:p>
            <w:pPr>
              <w:rPr>
                <w:rFonts w:ascii="仿宋" w:hAnsi="仿宋" w:eastAsia="仿宋" w:cs="仿宋"/>
                <w:b/>
                <w:sz w:val="28"/>
                <w:szCs w:val="28"/>
              </w:rPr>
            </w:pPr>
            <w:r>
              <w:rPr>
                <w:rFonts w:ascii="仿宋" w:hAnsi="仿宋" w:eastAsia="仿宋" w:cs="仿宋"/>
                <w:b/>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4253" w:type="dxa"/>
            <w:gridSpan w:val="4"/>
            <w:vMerge w:val="continue"/>
            <w:vAlign w:val="center"/>
          </w:tcPr>
          <w:p>
            <w:pPr>
              <w:rPr>
                <w:rFonts w:ascii="仿宋" w:hAnsi="仿宋" w:eastAsia="仿宋" w:cs="仿宋"/>
                <w:b/>
                <w:sz w:val="28"/>
                <w:szCs w:val="28"/>
              </w:rPr>
            </w:pP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在整体设计中的位置</w:t>
            </w:r>
          </w:p>
        </w:tc>
        <w:tc>
          <w:tcPr>
            <w:tcW w:w="1605" w:type="dxa"/>
            <w:vAlign w:val="center"/>
          </w:tcPr>
          <w:p>
            <w:pPr>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31</w:t>
            </w:r>
            <w:r>
              <w:rPr>
                <w:rFonts w:hint="eastAsia" w:ascii="仿宋" w:hAnsi="仿宋" w:eastAsia="仿宋" w:cs="仿宋"/>
                <w:b/>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900" w:type="dxa"/>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授课班级</w:t>
            </w:r>
          </w:p>
        </w:tc>
        <w:tc>
          <w:tcPr>
            <w:tcW w:w="900" w:type="dxa"/>
            <w:vAlign w:val="center"/>
          </w:tcPr>
          <w:p>
            <w:pPr>
              <w:rPr>
                <w:rFonts w:ascii="宋体"/>
                <w:sz w:val="24"/>
              </w:rPr>
            </w:pPr>
            <w:r>
              <w:rPr>
                <w:rFonts w:hint="eastAsia" w:ascii="仿宋" w:hAnsi="仿宋" w:eastAsia="仿宋" w:cs="仿宋"/>
                <w:b/>
                <w:sz w:val="24"/>
              </w:rPr>
              <w:t>物流管理专</w:t>
            </w:r>
            <w:r>
              <w:rPr>
                <w:rFonts w:ascii="仿宋" w:hAnsi="仿宋" w:eastAsia="仿宋" w:cs="仿宋"/>
                <w:b/>
                <w:sz w:val="24"/>
              </w:rPr>
              <w:t xml:space="preserve"> </w:t>
            </w:r>
            <w:r>
              <w:rPr>
                <w:rFonts w:hint="eastAsia" w:ascii="仿宋" w:hAnsi="仿宋" w:eastAsia="仿宋" w:cs="仿宋"/>
                <w:b/>
                <w:sz w:val="24"/>
              </w:rPr>
              <w:t>业</w:t>
            </w:r>
          </w:p>
        </w:tc>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时间</w:t>
            </w:r>
          </w:p>
        </w:tc>
        <w:tc>
          <w:tcPr>
            <w:tcW w:w="1913" w:type="dxa"/>
            <w:vAlign w:val="center"/>
          </w:tcPr>
          <w:p>
            <w:pPr>
              <w:rPr>
                <w:rFonts w:ascii="仿宋" w:hAnsi="仿宋" w:eastAsia="仿宋" w:cs="仿宋"/>
                <w:sz w:val="28"/>
                <w:szCs w:val="28"/>
              </w:rPr>
            </w:pP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节至</w:t>
            </w:r>
            <w:r>
              <w:rPr>
                <w:rFonts w:ascii="仿宋" w:hAnsi="仿宋" w:eastAsia="仿宋" w:cs="仿宋"/>
                <w:b/>
                <w:sz w:val="24"/>
              </w:rPr>
              <w:t xml:space="preserve">  </w:t>
            </w: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w:t>
            </w:r>
          </w:p>
        </w:tc>
        <w:tc>
          <w:tcPr>
            <w:tcW w:w="294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地点</w:t>
            </w:r>
          </w:p>
        </w:tc>
        <w:tc>
          <w:tcPr>
            <w:tcW w:w="1605" w:type="dxa"/>
            <w:vAlign w:val="center"/>
          </w:tcPr>
          <w:p>
            <w:pPr>
              <w:jc w:val="center"/>
              <w:rPr>
                <w:rFonts w:ascii="仿宋" w:hAnsi="仿宋" w:eastAsia="仿宋" w:cs="仿宋"/>
                <w:b/>
                <w:sz w:val="24"/>
              </w:rPr>
            </w:pPr>
            <w:r>
              <w:rPr>
                <w:rFonts w:hint="eastAsia" w:ascii="仿宋" w:hAnsi="仿宋" w:eastAsia="仿宋" w:cs="仿宋"/>
                <w:b/>
                <w:sz w:val="24"/>
              </w:rPr>
              <w:t>多媒体</w:t>
            </w:r>
          </w:p>
          <w:p>
            <w:pPr>
              <w:jc w:val="center"/>
              <w:rPr>
                <w:rFonts w:ascii="仿宋" w:hAnsi="仿宋" w:eastAsia="仿宋" w:cs="仿宋"/>
                <w:sz w:val="24"/>
              </w:rPr>
            </w:pPr>
            <w:r>
              <w:rPr>
                <w:rFonts w:hint="eastAsia" w:ascii="仿宋" w:hAnsi="仿宋" w:eastAsia="仿宋" w:cs="仿宋"/>
                <w:b/>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00" w:type="dxa"/>
            <w:vMerge w:val="restart"/>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目标</w:t>
            </w:r>
          </w:p>
        </w:tc>
        <w:tc>
          <w:tcPr>
            <w:tcW w:w="3353" w:type="dxa"/>
            <w:gridSpan w:val="3"/>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能力目标</w:t>
            </w:r>
          </w:p>
        </w:tc>
        <w:tc>
          <w:tcPr>
            <w:tcW w:w="2525" w:type="dxa"/>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知识目标</w:t>
            </w:r>
          </w:p>
        </w:tc>
        <w:tc>
          <w:tcPr>
            <w:tcW w:w="202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900" w:type="dxa"/>
            <w:vMerge w:val="continue"/>
            <w:vAlign w:val="center"/>
          </w:tcPr>
          <w:p>
            <w:pPr>
              <w:spacing w:line="320" w:lineRule="exact"/>
              <w:jc w:val="center"/>
              <w:rPr>
                <w:rFonts w:ascii="仿宋" w:hAnsi="仿宋" w:eastAsia="仿宋" w:cs="仿宋"/>
                <w:sz w:val="28"/>
                <w:szCs w:val="28"/>
              </w:rPr>
            </w:pPr>
          </w:p>
        </w:tc>
        <w:tc>
          <w:tcPr>
            <w:tcW w:w="3353" w:type="dxa"/>
            <w:gridSpan w:val="3"/>
            <w:vAlign w:val="center"/>
          </w:tcPr>
          <w:p>
            <w:pPr>
              <w:spacing w:line="440" w:lineRule="exact"/>
              <w:jc w:val="left"/>
              <w:rPr>
                <w:rFonts w:ascii="仿宋" w:hAnsi="仿宋" w:eastAsia="仿宋"/>
                <w:b/>
                <w:sz w:val="24"/>
              </w:rPr>
            </w:pPr>
            <w:r>
              <w:rPr>
                <w:rFonts w:hint="eastAsia" w:ascii="仿宋" w:hAnsi="仿宋" w:eastAsia="仿宋"/>
                <w:b/>
                <w:sz w:val="24"/>
              </w:rPr>
              <w:t>能够运用公式进行本量利分析</w:t>
            </w:r>
          </w:p>
        </w:tc>
        <w:tc>
          <w:tcPr>
            <w:tcW w:w="2525" w:type="dxa"/>
            <w:vAlign w:val="center"/>
          </w:tcPr>
          <w:p>
            <w:pPr>
              <w:tabs>
                <w:tab w:val="left" w:pos="312"/>
              </w:tabs>
              <w:rPr>
                <w:rFonts w:ascii="仿宋" w:hAnsi="仿宋" w:eastAsia="仿宋"/>
                <w:b/>
                <w:sz w:val="24"/>
              </w:rPr>
            </w:pPr>
            <w:r>
              <w:rPr>
                <w:rFonts w:ascii="仿宋" w:hAnsi="仿宋" w:eastAsia="仿宋"/>
                <w:b/>
                <w:sz w:val="24"/>
              </w:rPr>
              <w:t>1.</w:t>
            </w:r>
            <w:r>
              <w:rPr>
                <w:rFonts w:hint="eastAsia" w:ascii="仿宋" w:hAnsi="仿宋" w:eastAsia="仿宋"/>
                <w:b/>
                <w:sz w:val="24"/>
              </w:rPr>
              <w:t>了解本量利分析的影响因素；</w:t>
            </w:r>
            <w:r>
              <w:rPr>
                <w:rFonts w:ascii="仿宋" w:hAnsi="仿宋" w:eastAsia="仿宋"/>
                <w:b/>
                <w:sz w:val="24"/>
              </w:rPr>
              <w:t>2.</w:t>
            </w:r>
            <w:r>
              <w:rPr>
                <w:rFonts w:hint="eastAsia" w:ascii="仿宋" w:hAnsi="仿宋" w:eastAsia="仿宋"/>
                <w:b/>
                <w:sz w:val="24"/>
              </w:rPr>
              <w:t>掌握本量利分析的公式</w:t>
            </w:r>
          </w:p>
          <w:p>
            <w:pPr>
              <w:spacing w:line="440" w:lineRule="exact"/>
              <w:rPr>
                <w:rFonts w:ascii="仿宋" w:hAnsi="仿宋" w:eastAsia="仿宋"/>
                <w:b/>
                <w:sz w:val="24"/>
              </w:rPr>
            </w:pPr>
          </w:p>
        </w:tc>
        <w:tc>
          <w:tcPr>
            <w:tcW w:w="2025" w:type="dxa"/>
            <w:gridSpan w:val="2"/>
            <w:vAlign w:val="center"/>
          </w:tcPr>
          <w:p>
            <w:pPr>
              <w:spacing w:line="440" w:lineRule="exact"/>
              <w:jc w:val="left"/>
              <w:rPr>
                <w:rFonts w:ascii="仿宋" w:hAnsi="仿宋" w:eastAsia="仿宋"/>
                <w:b/>
                <w:sz w:val="24"/>
              </w:rPr>
            </w:pPr>
            <w:r>
              <w:rPr>
                <w:rFonts w:hint="eastAsia" w:ascii="仿宋" w:hAnsi="仿宋" w:eastAsia="仿宋"/>
                <w:b/>
                <w:sz w:val="24"/>
              </w:rPr>
              <w:t>培养学生的职业素养和团队合作精神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trPr>
        <w:tc>
          <w:tcPr>
            <w:tcW w:w="90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能力训练任务</w:t>
            </w:r>
          </w:p>
        </w:tc>
        <w:tc>
          <w:tcPr>
            <w:tcW w:w="7903" w:type="dxa"/>
            <w:gridSpan w:val="6"/>
            <w:vAlign w:val="center"/>
          </w:tcPr>
          <w:p>
            <w:pPr>
              <w:spacing w:line="440" w:lineRule="exact"/>
              <w:rPr>
                <w:rFonts w:ascii="仿宋" w:hAnsi="仿宋" w:eastAsia="仿宋"/>
                <w:b/>
                <w:sz w:val="28"/>
                <w:szCs w:val="28"/>
              </w:rPr>
            </w:pPr>
            <w:r>
              <w:rPr>
                <w:rFonts w:hint="eastAsia" w:ascii="仿宋" w:hAnsi="仿宋" w:eastAsia="仿宋"/>
                <w:b/>
                <w:sz w:val="28"/>
                <w:szCs w:val="28"/>
              </w:rPr>
              <w:t>情境设置：</w:t>
            </w:r>
          </w:p>
          <w:p>
            <w:pPr>
              <w:spacing w:line="440" w:lineRule="exact"/>
              <w:jc w:val="left"/>
              <w:rPr>
                <w:rFonts w:ascii="仿宋" w:hAnsi="仿宋" w:eastAsia="仿宋"/>
                <w:b/>
                <w:sz w:val="24"/>
              </w:rPr>
            </w:pPr>
            <w:r>
              <w:rPr>
                <w:rFonts w:hint="eastAsia" w:ascii="仿宋" w:hAnsi="仿宋" w:eastAsia="仿宋"/>
                <w:b/>
                <w:sz w:val="24"/>
              </w:rPr>
              <w:t>甲公司会计人员进行物流成本的本量利分析</w:t>
            </w:r>
          </w:p>
          <w:p>
            <w:pPr>
              <w:rPr>
                <w:rFonts w:ascii="仿宋" w:hAnsi="仿宋" w:eastAsia="仿宋"/>
                <w:b/>
                <w:sz w:val="24"/>
              </w:rPr>
            </w:pPr>
          </w:p>
          <w:p>
            <w:pPr>
              <w:rPr>
                <w:rFonts w:ascii="仿宋" w:hAnsi="仿宋" w:eastAsia="仿宋"/>
                <w:b/>
                <w:sz w:val="24"/>
              </w:rPr>
            </w:pPr>
          </w:p>
          <w:p>
            <w:pPr>
              <w:spacing w:line="440" w:lineRule="exact"/>
              <w:rPr>
                <w:rFonts w:ascii="仿宋" w:hAnsi="仿宋" w:eastAsia="仿宋"/>
                <w:b/>
                <w:sz w:val="28"/>
                <w:szCs w:val="28"/>
              </w:rPr>
            </w:pPr>
            <w:r>
              <w:rPr>
                <w:rFonts w:hint="eastAsia" w:ascii="仿宋" w:hAnsi="仿宋" w:eastAsia="仿宋"/>
                <w:b/>
                <w:sz w:val="28"/>
                <w:szCs w:val="28"/>
              </w:rPr>
              <w:t>课堂任务：</w:t>
            </w:r>
          </w:p>
          <w:p>
            <w:pPr>
              <w:spacing w:line="440" w:lineRule="exact"/>
              <w:jc w:val="left"/>
              <w:rPr>
                <w:rFonts w:ascii="仿宋" w:hAnsi="仿宋" w:eastAsia="仿宋" w:cs="仿宋"/>
                <w:sz w:val="24"/>
              </w:rPr>
            </w:pPr>
            <w:r>
              <w:rPr>
                <w:rFonts w:hint="eastAsia" w:ascii="仿宋" w:hAnsi="仿宋" w:eastAsia="仿宋"/>
                <w:b/>
                <w:sz w:val="24"/>
              </w:rPr>
              <w:t>分组运用公式进行本量利分析</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bl>
      <w:tblPr>
        <w:tblStyle w:val="4"/>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3" w:hRule="atLeast"/>
        </w:trPr>
        <w:tc>
          <w:tcPr>
            <w:tcW w:w="607"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案例和</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材料</w:t>
            </w:r>
          </w:p>
        </w:tc>
        <w:tc>
          <w:tcPr>
            <w:tcW w:w="8793" w:type="dxa"/>
          </w:tcPr>
          <w:p>
            <w:pPr>
              <w:spacing w:line="440" w:lineRule="exact"/>
              <w:jc w:val="left"/>
              <w:rPr>
                <w:rFonts w:ascii="宋体"/>
                <w:sz w:val="24"/>
              </w:rPr>
            </w:pPr>
            <w:r>
              <w:rPr>
                <w:rFonts w:hint="eastAsia" w:ascii="仿宋" w:hAnsi="仿宋" w:eastAsia="仿宋"/>
                <w:b/>
                <w:sz w:val="28"/>
                <w:szCs w:val="28"/>
              </w:rPr>
              <w:t>案例</w:t>
            </w:r>
            <w:r>
              <w:rPr>
                <w:rFonts w:ascii="仿宋" w:hAnsi="仿宋" w:eastAsia="仿宋"/>
                <w:b/>
                <w:sz w:val="28"/>
                <w:szCs w:val="28"/>
              </w:rPr>
              <w:t xml:space="preserve">: </w:t>
            </w:r>
          </w:p>
          <w:p>
            <w:pPr>
              <w:spacing w:line="540" w:lineRule="exact"/>
              <w:ind w:firstLine="480" w:firstLineChars="200"/>
              <w:jc w:val="left"/>
              <w:rPr>
                <w:rFonts w:ascii="宋体"/>
                <w:sz w:val="24"/>
              </w:rPr>
            </w:pPr>
            <w:r>
              <w:rPr>
                <w:rFonts w:hint="eastAsia" w:ascii="宋体" w:hAnsi="宋体"/>
                <w:sz w:val="24"/>
              </w:rPr>
              <w:t>甲公司是一个小麦加工为主的中外合资面粉生产企业。截止</w:t>
            </w:r>
            <w:r>
              <w:rPr>
                <w:rFonts w:ascii="宋体" w:hAnsi="宋体"/>
                <w:sz w:val="24"/>
              </w:rPr>
              <w:t>2016</w:t>
            </w:r>
            <w:r>
              <w:rPr>
                <w:rFonts w:hint="eastAsia" w:ascii="宋体" w:hAnsi="宋体"/>
                <w:sz w:val="24"/>
              </w:rPr>
              <w:t>年底，该公司资产总额</w:t>
            </w:r>
            <w:r>
              <w:rPr>
                <w:rFonts w:ascii="宋体" w:hAnsi="宋体"/>
                <w:sz w:val="24"/>
              </w:rPr>
              <w:t>6186</w:t>
            </w:r>
            <w:r>
              <w:rPr>
                <w:rFonts w:hint="eastAsia" w:ascii="宋体" w:hAnsi="宋体"/>
                <w:sz w:val="24"/>
              </w:rPr>
              <w:t>万元，</w:t>
            </w:r>
            <w:r>
              <w:rPr>
                <w:rFonts w:ascii="宋体" w:hAnsi="宋体"/>
                <w:sz w:val="24"/>
              </w:rPr>
              <w:t>2016</w:t>
            </w:r>
            <w:r>
              <w:rPr>
                <w:rFonts w:hint="eastAsia" w:ascii="宋体" w:hAnsi="宋体"/>
                <w:sz w:val="24"/>
              </w:rPr>
              <w:t>年实现销售收入</w:t>
            </w:r>
            <w:r>
              <w:rPr>
                <w:rFonts w:ascii="宋体" w:hAnsi="宋体"/>
                <w:sz w:val="24"/>
              </w:rPr>
              <w:t>1.23</w:t>
            </w:r>
            <w:r>
              <w:rPr>
                <w:rFonts w:hint="eastAsia" w:ascii="宋体" w:hAnsi="宋体"/>
                <w:sz w:val="24"/>
              </w:rPr>
              <w:t>亿元，实现利润总额</w:t>
            </w:r>
            <w:r>
              <w:rPr>
                <w:rFonts w:ascii="宋体" w:hAnsi="宋体"/>
                <w:sz w:val="24"/>
              </w:rPr>
              <w:t>6562</w:t>
            </w:r>
            <w:r>
              <w:rPr>
                <w:rFonts w:hint="eastAsia" w:ascii="宋体" w:hAnsi="宋体"/>
                <w:sz w:val="24"/>
              </w:rPr>
              <w:t>万元，内部设有会计部（兼做信息工作）、人事部、采购部、生产部、质量部、仓储部和销售部</w:t>
            </w:r>
            <w:r>
              <w:rPr>
                <w:rFonts w:ascii="宋体" w:hAnsi="宋体"/>
                <w:sz w:val="24"/>
              </w:rPr>
              <w:t>7</w:t>
            </w:r>
            <w:r>
              <w:rPr>
                <w:rFonts w:hint="eastAsia" w:ascii="宋体" w:hAnsi="宋体"/>
                <w:sz w:val="24"/>
              </w:rPr>
              <w:t>个部门，共有员工</w:t>
            </w:r>
            <w:r>
              <w:rPr>
                <w:rFonts w:ascii="宋体" w:hAnsi="宋体"/>
                <w:sz w:val="24"/>
              </w:rPr>
              <w:t>145</w:t>
            </w:r>
            <w:r>
              <w:rPr>
                <w:rFonts w:hint="eastAsia" w:ascii="宋体" w:hAnsi="宋体"/>
                <w:sz w:val="24"/>
              </w:rPr>
              <w:t>人，其中采购人员</w:t>
            </w:r>
            <w:r>
              <w:rPr>
                <w:rFonts w:ascii="宋体" w:hAnsi="宋体"/>
                <w:sz w:val="24"/>
              </w:rPr>
              <w:t>5</w:t>
            </w:r>
            <w:r>
              <w:rPr>
                <w:rFonts w:hint="eastAsia" w:ascii="宋体" w:hAnsi="宋体"/>
                <w:sz w:val="24"/>
              </w:rPr>
              <w:t>人，生产人员</w:t>
            </w:r>
            <w:r>
              <w:rPr>
                <w:rFonts w:ascii="宋体" w:hAnsi="宋体"/>
                <w:sz w:val="24"/>
              </w:rPr>
              <w:t>60</w:t>
            </w:r>
            <w:r>
              <w:rPr>
                <w:rFonts w:hint="eastAsia" w:ascii="宋体" w:hAnsi="宋体"/>
                <w:sz w:val="24"/>
              </w:rPr>
              <w:t>人，营销人员</w:t>
            </w:r>
            <w:r>
              <w:rPr>
                <w:rFonts w:ascii="宋体" w:hAnsi="宋体"/>
                <w:sz w:val="24"/>
              </w:rPr>
              <w:t>20</w:t>
            </w:r>
            <w:r>
              <w:rPr>
                <w:rFonts w:hint="eastAsia" w:ascii="宋体" w:hAnsi="宋体"/>
                <w:sz w:val="24"/>
              </w:rPr>
              <w:t>人，其余为管理人员。该公司有一个总面积为</w:t>
            </w:r>
            <w:r>
              <w:rPr>
                <w:rFonts w:ascii="宋体" w:hAnsi="宋体"/>
                <w:sz w:val="24"/>
              </w:rPr>
              <w:t>10000</w:t>
            </w:r>
            <w:r>
              <w:rPr>
                <w:rFonts w:hint="eastAsia" w:ascii="宋体" w:hAnsi="宋体"/>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月有关成本费用资料为依据，计算</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月份无发生额。</w:t>
            </w:r>
          </w:p>
          <w:p>
            <w:pPr>
              <w:spacing w:line="440" w:lineRule="exact"/>
              <w:ind w:firstLine="240" w:firstLineChars="100"/>
              <w:jc w:val="left"/>
              <w:rPr>
                <w:rFonts w:ascii="宋体"/>
                <w:sz w:val="24"/>
              </w:rPr>
            </w:pPr>
          </w:p>
          <w:p>
            <w:pPr>
              <w:spacing w:line="440" w:lineRule="exact"/>
              <w:ind w:firstLine="240" w:firstLineChars="100"/>
              <w:jc w:val="left"/>
              <w:rPr>
                <w:rFonts w:ascii="宋体"/>
                <w:sz w:val="24"/>
              </w:rPr>
            </w:pPr>
          </w:p>
          <w:p>
            <w:pPr>
              <w:spacing w:line="440" w:lineRule="exact"/>
              <w:jc w:val="left"/>
              <w:rPr>
                <w:rFonts w:ascii="仿宋" w:hAnsi="仿宋" w:eastAsia="仿宋"/>
                <w:b/>
                <w:sz w:val="28"/>
                <w:szCs w:val="28"/>
              </w:rPr>
            </w:pPr>
            <w:r>
              <w:rPr>
                <w:rFonts w:hint="eastAsia" w:ascii="仿宋" w:hAnsi="仿宋" w:eastAsia="仿宋"/>
                <w:b/>
                <w:sz w:val="28"/>
                <w:szCs w:val="28"/>
              </w:rPr>
              <w:t>教学材料：</w:t>
            </w:r>
          </w:p>
          <w:p>
            <w:pPr>
              <w:spacing w:line="540" w:lineRule="exact"/>
              <w:ind w:firstLine="480" w:firstLineChars="200"/>
              <w:jc w:val="left"/>
              <w:rPr>
                <w:rFonts w:ascii="宋体"/>
                <w:sz w:val="24"/>
              </w:rPr>
            </w:pPr>
            <w:r>
              <w:rPr>
                <w:rFonts w:hint="eastAsia" w:ascii="宋体" w:hAnsi="宋体"/>
                <w:sz w:val="24"/>
              </w:rPr>
              <w:t>教材：古全美</w:t>
            </w:r>
            <w:r>
              <w:rPr>
                <w:rFonts w:ascii="宋体" w:hAnsi="宋体"/>
                <w:sz w:val="24"/>
              </w:rPr>
              <w:t xml:space="preserve"> </w:t>
            </w:r>
            <w:r>
              <w:rPr>
                <w:rFonts w:hint="eastAsia" w:ascii="宋体" w:hAnsi="宋体"/>
                <w:sz w:val="24"/>
              </w:rPr>
              <w:t>张述敬主编《物流成本管理》</w:t>
            </w:r>
          </w:p>
          <w:p>
            <w:pPr>
              <w:spacing w:line="540" w:lineRule="exact"/>
              <w:ind w:firstLine="480" w:firstLineChars="200"/>
              <w:jc w:val="left"/>
              <w:rPr>
                <w:rFonts w:ascii="宋体"/>
                <w:sz w:val="24"/>
              </w:rPr>
            </w:pPr>
            <w:r>
              <w:rPr>
                <w:rFonts w:hint="eastAsia" w:ascii="宋体" w:hAnsi="宋体"/>
                <w:sz w:val="24"/>
              </w:rPr>
              <w:t>参考资料：</w:t>
            </w:r>
          </w:p>
          <w:p>
            <w:pPr>
              <w:spacing w:line="540" w:lineRule="exact"/>
              <w:ind w:firstLine="480" w:firstLineChars="200"/>
              <w:jc w:val="left"/>
              <w:rPr>
                <w:rFonts w:ascii="宋体" w:hAnsi="宋体"/>
                <w:sz w:val="24"/>
              </w:rPr>
            </w:pPr>
            <w:r>
              <w:rPr>
                <w:rFonts w:hint="eastAsia" w:ascii="宋体" w:hAnsi="宋体"/>
                <w:sz w:val="24"/>
              </w:rPr>
              <w:t>商业周刊</w:t>
            </w:r>
            <w:r>
              <w:rPr>
                <w:rFonts w:ascii="宋体" w:hAnsi="宋体"/>
                <w:sz w:val="24"/>
              </w:rPr>
              <w:t xml:space="preserve"> http://www.businessweek.com /</w:t>
            </w:r>
          </w:p>
          <w:p>
            <w:pPr>
              <w:spacing w:line="540" w:lineRule="exact"/>
              <w:ind w:firstLine="480" w:firstLineChars="200"/>
              <w:jc w:val="left"/>
              <w:rPr>
                <w:rFonts w:ascii="宋体" w:hAnsi="宋体"/>
                <w:sz w:val="24"/>
              </w:rPr>
            </w:pPr>
            <w:r>
              <w:rPr>
                <w:rFonts w:hint="eastAsia" w:ascii="宋体" w:hAnsi="宋体"/>
                <w:sz w:val="24"/>
              </w:rPr>
              <w:t>经济学家</w:t>
            </w:r>
            <w:r>
              <w:rPr>
                <w:rFonts w:ascii="宋体" w:hAnsi="宋体"/>
                <w:sz w:val="24"/>
              </w:rPr>
              <w:t xml:space="preserve"> http://www.economist.com </w:t>
            </w:r>
          </w:p>
          <w:p>
            <w:pPr>
              <w:spacing w:line="540" w:lineRule="exact"/>
              <w:ind w:firstLine="480" w:firstLineChars="200"/>
              <w:jc w:val="left"/>
              <w:rPr>
                <w:rFonts w:ascii="宋体" w:hAnsi="宋体"/>
                <w:sz w:val="24"/>
              </w:rPr>
            </w:pPr>
            <w:r>
              <w:rPr>
                <w:rFonts w:hint="eastAsia" w:ascii="宋体" w:hAnsi="宋体"/>
                <w:sz w:val="24"/>
              </w:rPr>
              <w:t>金融时报</w:t>
            </w:r>
            <w:r>
              <w:rPr>
                <w:rFonts w:ascii="宋体" w:hAnsi="宋体"/>
                <w:sz w:val="24"/>
              </w:rPr>
              <w:t xml:space="preserve"> http://www.ft.com </w:t>
            </w:r>
          </w:p>
          <w:p>
            <w:pPr>
              <w:spacing w:line="540" w:lineRule="exact"/>
              <w:ind w:firstLine="480" w:firstLineChars="200"/>
              <w:jc w:val="left"/>
              <w:rPr>
                <w:rFonts w:ascii="宋体" w:hAnsi="宋体"/>
                <w:sz w:val="24"/>
              </w:rPr>
            </w:pPr>
            <w:r>
              <w:rPr>
                <w:rFonts w:hint="eastAsia" w:ascii="宋体" w:hAnsi="宋体"/>
                <w:sz w:val="24"/>
              </w:rPr>
              <w:t>财富</w:t>
            </w:r>
            <w:r>
              <w:rPr>
                <w:rFonts w:ascii="宋体" w:hAnsi="宋体"/>
                <w:sz w:val="24"/>
              </w:rPr>
              <w:t xml:space="preserve"> http://www.fortune.com/</w:t>
            </w:r>
          </w:p>
          <w:p>
            <w:pPr>
              <w:spacing w:line="540" w:lineRule="exact"/>
              <w:ind w:firstLine="480" w:firstLineChars="200"/>
              <w:jc w:val="left"/>
              <w:rPr>
                <w:rFonts w:ascii="宋体" w:hAnsi="宋体"/>
                <w:sz w:val="24"/>
              </w:rPr>
            </w:pPr>
            <w:r>
              <w:rPr>
                <w:rFonts w:hint="eastAsia" w:ascii="宋体" w:hAnsi="宋体"/>
                <w:sz w:val="24"/>
              </w:rPr>
              <w:t>哈佛商业评论</w:t>
            </w:r>
            <w:r>
              <w:rPr>
                <w:rFonts w:ascii="宋体" w:hAnsi="宋体"/>
                <w:sz w:val="24"/>
              </w:rPr>
              <w:t xml:space="preserve"> http://www.hbr.com</w:t>
            </w:r>
          </w:p>
          <w:p>
            <w:pPr>
              <w:spacing w:line="540" w:lineRule="exact"/>
              <w:ind w:firstLine="480" w:firstLineChars="200"/>
              <w:jc w:val="left"/>
              <w:rPr>
                <w:rFonts w:ascii="宋体"/>
                <w:sz w:val="24"/>
              </w:rPr>
            </w:pPr>
            <w:r>
              <w:rPr>
                <w:rFonts w:hint="eastAsia" w:ascii="宋体" w:hAnsi="宋体"/>
                <w:sz w:val="24"/>
              </w:rPr>
              <w:t>企业家</w:t>
            </w:r>
            <w:r>
              <w:rPr>
                <w:rFonts w:ascii="宋体" w:hAnsi="宋体"/>
                <w:sz w:val="24"/>
              </w:rPr>
              <w:t xml:space="preserve"> http://www.entrepreneur.com </w:t>
            </w:r>
          </w:p>
          <w:p>
            <w:pPr>
              <w:spacing w:line="440" w:lineRule="exact"/>
              <w:jc w:val="left"/>
              <w:rPr>
                <w:rFonts w:ascii="宋体"/>
                <w:sz w:val="24"/>
              </w:rPr>
            </w:pPr>
          </w:p>
        </w:tc>
      </w:tr>
    </w:tbl>
    <w:p>
      <w:pPr>
        <w:rPr>
          <w:rFonts w:ascii="仿宋" w:hAnsi="仿宋" w:eastAsia="仿宋" w:cs="仿宋"/>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r>
        <w:rPr>
          <w:rFonts w:hint="eastAsia" w:ascii="仿宋" w:hAnsi="仿宋" w:eastAsia="仿宋" w:cs="仿宋"/>
          <w:b/>
          <w:bCs/>
          <w:sz w:val="30"/>
        </w:rPr>
        <w:t>单元教学进度</w:t>
      </w:r>
    </w:p>
    <w:tbl>
      <w:tblPr>
        <w:tblStyle w:val="4"/>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80"/>
        <w:gridCol w:w="3420"/>
        <w:gridCol w:w="30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步骤</w:t>
            </w:r>
          </w:p>
        </w:tc>
        <w:tc>
          <w:tcPr>
            <w:tcW w:w="198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教学内容及能力</w:t>
            </w:r>
            <w:r>
              <w:rPr>
                <w:rFonts w:ascii="仿宋" w:hAnsi="仿宋" w:eastAsia="仿宋" w:cs="仿宋"/>
                <w:b/>
                <w:sz w:val="28"/>
                <w:szCs w:val="28"/>
              </w:rPr>
              <w:t>/</w:t>
            </w:r>
            <w:r>
              <w:rPr>
                <w:rFonts w:hint="eastAsia" w:ascii="仿宋" w:hAnsi="仿宋" w:eastAsia="仿宋" w:cs="仿宋"/>
                <w:b/>
                <w:sz w:val="28"/>
                <w:szCs w:val="28"/>
              </w:rPr>
              <w:t>知识目标</w:t>
            </w:r>
          </w:p>
        </w:tc>
        <w:tc>
          <w:tcPr>
            <w:tcW w:w="342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教师活动</w:t>
            </w:r>
          </w:p>
        </w:tc>
        <w:tc>
          <w:tcPr>
            <w:tcW w:w="306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学生活动</w:t>
            </w:r>
          </w:p>
        </w:tc>
        <w:tc>
          <w:tcPr>
            <w:tcW w:w="1080" w:type="dxa"/>
            <w:vAlign w:val="center"/>
          </w:tcPr>
          <w:p>
            <w:pPr>
              <w:spacing w:line="320" w:lineRule="exact"/>
              <w:jc w:val="center"/>
              <w:rPr>
                <w:rFonts w:ascii="仿宋" w:hAnsi="仿宋" w:eastAsia="仿宋" w:cs="仿宋"/>
                <w:b/>
                <w:sz w:val="24"/>
              </w:rPr>
            </w:pPr>
            <w:r>
              <w:rPr>
                <w:rFonts w:hint="eastAsia" w:ascii="仿宋" w:hAnsi="仿宋" w:eastAsia="仿宋" w:cs="仿宋"/>
                <w:b/>
                <w:sz w:val="24"/>
              </w:rPr>
              <w:t>时间</w:t>
            </w:r>
          </w:p>
          <w:p>
            <w:pPr>
              <w:spacing w:line="320" w:lineRule="exact"/>
              <w:jc w:val="center"/>
              <w:rPr>
                <w:rFonts w:ascii="仿宋" w:hAnsi="仿宋" w:eastAsia="仿宋" w:cs="仿宋"/>
                <w:b/>
                <w:sz w:val="24"/>
              </w:rPr>
            </w:pPr>
            <w:r>
              <w:rPr>
                <w:rFonts w:hint="eastAsia" w:ascii="仿宋" w:hAnsi="仿宋" w:eastAsia="仿宋" w:cs="仿宋"/>
                <w:b/>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课前</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复习上节课内容，简单了解分析物流成本本量利的知识</w:t>
            </w:r>
          </w:p>
        </w:tc>
        <w:tc>
          <w:tcPr>
            <w:tcW w:w="3420" w:type="dxa"/>
            <w:vAlign w:val="center"/>
          </w:tcPr>
          <w:p>
            <w:pPr>
              <w:spacing w:line="320" w:lineRule="exact"/>
              <w:rPr>
                <w:rFonts w:ascii="宋体" w:cs="仿宋"/>
                <w:sz w:val="24"/>
              </w:rPr>
            </w:pPr>
            <w:r>
              <w:rPr>
                <w:rFonts w:hint="eastAsia" w:ascii="宋体" w:hAnsi="宋体" w:cs="仿宋"/>
                <w:sz w:val="24"/>
              </w:rPr>
              <w:t>介绍课程目标和主要内容框架</w:t>
            </w:r>
          </w:p>
        </w:tc>
        <w:tc>
          <w:tcPr>
            <w:tcW w:w="3060" w:type="dxa"/>
            <w:vAlign w:val="center"/>
          </w:tcPr>
          <w:p>
            <w:pPr>
              <w:spacing w:line="320" w:lineRule="exact"/>
              <w:rPr>
                <w:rFonts w:ascii="宋体" w:cs="仿宋"/>
                <w:sz w:val="24"/>
              </w:rPr>
            </w:pPr>
            <w:r>
              <w:rPr>
                <w:rFonts w:hint="eastAsia" w:ascii="宋体" w:hAnsi="宋体" w:cs="仿宋"/>
                <w:sz w:val="24"/>
              </w:rPr>
              <w:t>课前了解课程内容</w:t>
            </w:r>
          </w:p>
        </w:tc>
        <w:tc>
          <w:tcPr>
            <w:tcW w:w="1080" w:type="dxa"/>
            <w:vMerge w:val="restart"/>
            <w:vAlign w:val="center"/>
          </w:tcPr>
          <w:p>
            <w:pPr>
              <w:spacing w:line="320" w:lineRule="exact"/>
              <w:jc w:val="center"/>
              <w:rPr>
                <w:rFonts w:ascii="宋体" w:cs="仿宋"/>
                <w:sz w:val="24"/>
              </w:rPr>
            </w:pPr>
            <w:r>
              <w:rPr>
                <w:rFonts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案例引入，使同学们对本节课的学习内容有所了解</w:t>
            </w:r>
          </w:p>
        </w:tc>
        <w:tc>
          <w:tcPr>
            <w:tcW w:w="3060" w:type="dxa"/>
            <w:vAlign w:val="center"/>
          </w:tcPr>
          <w:p>
            <w:pPr>
              <w:spacing w:line="320" w:lineRule="exact"/>
              <w:rPr>
                <w:rFonts w:ascii="宋体" w:cs="仿宋"/>
                <w:sz w:val="24"/>
              </w:rPr>
            </w:pPr>
            <w:r>
              <w:rPr>
                <w:rFonts w:hint="eastAsia" w:ascii="宋体" w:hAnsi="宋体" w:cs="仿宋"/>
                <w:sz w:val="24"/>
              </w:rPr>
              <w:t>阅读案例，分析案例</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介绍本堂课的学习目标和重点难点</w:t>
            </w:r>
          </w:p>
        </w:tc>
        <w:tc>
          <w:tcPr>
            <w:tcW w:w="3060" w:type="dxa"/>
            <w:vAlign w:val="center"/>
          </w:tcPr>
          <w:p>
            <w:pPr>
              <w:spacing w:line="320" w:lineRule="exact"/>
              <w:rPr>
                <w:rFonts w:ascii="宋体" w:cs="仿宋"/>
                <w:sz w:val="24"/>
              </w:rPr>
            </w:pPr>
            <w:r>
              <w:rPr>
                <w:rFonts w:hint="eastAsia" w:ascii="宋体" w:hAnsi="宋体" w:cs="仿宋"/>
                <w:sz w:val="24"/>
              </w:rPr>
              <w:t>根据学习目标展开学习</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介绍学习任务</w:t>
            </w:r>
          </w:p>
        </w:tc>
        <w:tc>
          <w:tcPr>
            <w:tcW w:w="3060" w:type="dxa"/>
            <w:vAlign w:val="center"/>
          </w:tcPr>
          <w:p>
            <w:pPr>
              <w:spacing w:line="320" w:lineRule="exact"/>
              <w:rPr>
                <w:rFonts w:ascii="宋体" w:cs="仿宋"/>
                <w:sz w:val="24"/>
              </w:rPr>
            </w:pPr>
            <w:r>
              <w:rPr>
                <w:rFonts w:hint="eastAsia" w:ascii="宋体" w:hAnsi="宋体" w:cs="仿宋"/>
                <w:sz w:val="24"/>
              </w:rPr>
              <w:t>准备接受任务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hAnsi="宋体" w:cs="仿宋"/>
                <w:sz w:val="24"/>
              </w:rPr>
            </w:pPr>
            <w:r>
              <w:rPr>
                <w:rFonts w:hint="eastAsia" w:ascii="宋体" w:hAnsi="宋体" w:cs="仿宋"/>
                <w:sz w:val="24"/>
              </w:rPr>
              <w:t>任务</w:t>
            </w:r>
            <w:r>
              <w:rPr>
                <w:rFonts w:ascii="宋体" w:hAnsi="宋体" w:cs="仿宋"/>
                <w:sz w:val="24"/>
              </w:rPr>
              <w:t>1</w:t>
            </w:r>
          </w:p>
        </w:tc>
        <w:tc>
          <w:tcPr>
            <w:tcW w:w="1980" w:type="dxa"/>
            <w:vMerge w:val="restart"/>
            <w:vAlign w:val="center"/>
          </w:tcPr>
          <w:p>
            <w:pPr>
              <w:spacing w:line="320" w:lineRule="exact"/>
              <w:jc w:val="center"/>
              <w:rPr>
                <w:rFonts w:ascii="宋体" w:cs="仿宋"/>
                <w:color w:val="000000"/>
                <w:kern w:val="0"/>
                <w:sz w:val="24"/>
              </w:rPr>
            </w:pPr>
            <w:r>
              <w:rPr>
                <w:rFonts w:hint="eastAsia" w:ascii="宋体" w:hAnsi="宋体" w:cs="仿宋"/>
                <w:color w:val="000000"/>
                <w:kern w:val="0"/>
                <w:sz w:val="24"/>
              </w:rPr>
              <w:t>熟悉学习的知识点；掌握重点</w:t>
            </w:r>
          </w:p>
          <w:p>
            <w:pPr>
              <w:spacing w:line="320" w:lineRule="exact"/>
              <w:jc w:val="center"/>
              <w:rPr>
                <w:rFonts w:ascii="宋体" w:cs="仿宋"/>
                <w:color w:val="000000"/>
                <w:kern w:val="0"/>
                <w:sz w:val="24"/>
              </w:rPr>
            </w:pPr>
            <w:r>
              <w:rPr>
                <w:rFonts w:hint="eastAsia" w:ascii="宋体" w:hAnsi="宋体" w:cs="仿宋"/>
                <w:color w:val="000000"/>
                <w:kern w:val="0"/>
                <w:sz w:val="24"/>
              </w:rPr>
              <w:t>难点</w:t>
            </w:r>
          </w:p>
          <w:p>
            <w:pPr>
              <w:spacing w:line="320" w:lineRule="exact"/>
              <w:jc w:val="center"/>
              <w:rPr>
                <w:rFonts w:ascii="宋体" w:cs="仿宋"/>
                <w:sz w:val="24"/>
              </w:rPr>
            </w:pP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1</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1</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讲解重点难点</w:t>
            </w:r>
          </w:p>
        </w:tc>
        <w:tc>
          <w:tcPr>
            <w:tcW w:w="3060" w:type="dxa"/>
            <w:vAlign w:val="center"/>
          </w:tcPr>
          <w:p>
            <w:pPr>
              <w:spacing w:line="320" w:lineRule="exact"/>
              <w:rPr>
                <w:rFonts w:ascii="宋体" w:cs="仿宋"/>
                <w:sz w:val="24"/>
              </w:rPr>
            </w:pPr>
            <w:r>
              <w:rPr>
                <w:rFonts w:hint="eastAsia" w:ascii="宋体" w:hAnsi="宋体" w:cs="仿宋"/>
                <w:sz w:val="24"/>
              </w:rPr>
              <w:t>掌握重点难点</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p>
          <w:p>
            <w:pPr>
              <w:spacing w:line="320" w:lineRule="exact"/>
              <w:jc w:val="center"/>
              <w:rPr>
                <w:rFonts w:ascii="宋体" w:cs="仿宋"/>
                <w:b/>
                <w:bCs/>
                <w:sz w:val="24"/>
              </w:rPr>
            </w:pPr>
            <w:r>
              <w:rPr>
                <w:rFonts w:hint="eastAsia" w:ascii="宋体" w:hAnsi="宋体" w:cs="仿宋"/>
                <w:sz w:val="24"/>
              </w:rPr>
              <w:t>任务</w:t>
            </w:r>
            <w:r>
              <w:rPr>
                <w:rFonts w:ascii="宋体" w:hAnsi="宋体" w:cs="仿宋"/>
                <w:sz w:val="24"/>
              </w:rPr>
              <w:t>2</w:t>
            </w:r>
          </w:p>
        </w:tc>
        <w:tc>
          <w:tcPr>
            <w:tcW w:w="1980" w:type="dxa"/>
            <w:vMerge w:val="restart"/>
            <w:vAlign w:val="center"/>
          </w:tcPr>
          <w:p>
            <w:pPr>
              <w:spacing w:line="320" w:lineRule="exact"/>
              <w:jc w:val="center"/>
              <w:rPr>
                <w:rFonts w:ascii="宋体" w:cs="仿宋"/>
                <w:sz w:val="24"/>
              </w:rPr>
            </w:pPr>
            <w:r>
              <w:rPr>
                <w:rFonts w:hint="eastAsia" w:ascii="宋体" w:hAnsi="宋体" w:cs="仿宋"/>
                <w:color w:val="000000"/>
                <w:kern w:val="0"/>
                <w:sz w:val="24"/>
              </w:rPr>
              <w:t>在练习中应用所学内容</w:t>
            </w: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2</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2</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引导学生完成任务，并在任务完成过程中予以指导</w:t>
            </w:r>
          </w:p>
        </w:tc>
        <w:tc>
          <w:tcPr>
            <w:tcW w:w="3060" w:type="dxa"/>
            <w:vAlign w:val="center"/>
          </w:tcPr>
          <w:p>
            <w:pPr>
              <w:spacing w:line="320" w:lineRule="exact"/>
              <w:rPr>
                <w:rFonts w:ascii="宋体" w:cs="仿宋"/>
                <w:sz w:val="24"/>
              </w:rPr>
            </w:pPr>
            <w:r>
              <w:rPr>
                <w:rFonts w:hint="eastAsia" w:ascii="宋体" w:hAnsi="宋体" w:cs="仿宋"/>
                <w:sz w:val="24"/>
              </w:rPr>
              <w:t>按照要求完成学习任务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考核</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对本次任务的完成情况进行考核评价</w:t>
            </w:r>
          </w:p>
        </w:tc>
        <w:tc>
          <w:tcPr>
            <w:tcW w:w="3420" w:type="dxa"/>
            <w:vAlign w:val="center"/>
          </w:tcPr>
          <w:p>
            <w:pPr>
              <w:spacing w:line="320" w:lineRule="exact"/>
              <w:rPr>
                <w:rFonts w:ascii="宋体" w:cs="仿宋"/>
                <w:sz w:val="24"/>
              </w:rPr>
            </w:pPr>
            <w:r>
              <w:rPr>
                <w:rFonts w:hint="eastAsia" w:ascii="宋体" w:hAnsi="宋体" w:cs="仿宋"/>
                <w:sz w:val="24"/>
              </w:rPr>
              <w:t>师生共同评价任务的完成情况</w:t>
            </w:r>
          </w:p>
        </w:tc>
        <w:tc>
          <w:tcPr>
            <w:tcW w:w="3060" w:type="dxa"/>
            <w:vAlign w:val="center"/>
          </w:tcPr>
          <w:p>
            <w:pPr>
              <w:spacing w:line="320" w:lineRule="exact"/>
              <w:rPr>
                <w:rFonts w:ascii="宋体" w:cs="仿宋"/>
                <w:sz w:val="24"/>
              </w:rPr>
            </w:pPr>
            <w:r>
              <w:rPr>
                <w:rFonts w:hint="eastAsia" w:ascii="宋体" w:hAnsi="宋体" w:cs="仿宋"/>
                <w:sz w:val="24"/>
              </w:rPr>
              <w:t>学生通过讨论发现需要掌握的知识点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针对学生完成任务过程中的问题，教师指导、示范、答疑、纠错</w:t>
            </w:r>
          </w:p>
        </w:tc>
        <w:tc>
          <w:tcPr>
            <w:tcW w:w="3060" w:type="dxa"/>
            <w:vAlign w:val="center"/>
          </w:tcPr>
          <w:p>
            <w:pPr>
              <w:spacing w:line="320" w:lineRule="exact"/>
              <w:rPr>
                <w:rFonts w:ascii="宋体" w:cs="仿宋"/>
                <w:sz w:val="24"/>
              </w:rPr>
            </w:pPr>
            <w:r>
              <w:rPr>
                <w:rFonts w:hint="eastAsia" w:ascii="宋体" w:hAnsi="宋体" w:cs="仿宋"/>
                <w:sz w:val="24"/>
              </w:rPr>
              <w:t>学生在教师的指导下，发现并解决问题</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小结</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总结本单元</w:t>
            </w:r>
          </w:p>
          <w:p>
            <w:pPr>
              <w:spacing w:line="320" w:lineRule="exact"/>
              <w:jc w:val="center"/>
              <w:rPr>
                <w:rFonts w:ascii="宋体" w:cs="仿宋"/>
                <w:sz w:val="24"/>
              </w:rPr>
            </w:pPr>
            <w:r>
              <w:rPr>
                <w:rFonts w:hint="eastAsia" w:ascii="宋体" w:hAnsi="宋体" w:cs="仿宋"/>
                <w:sz w:val="24"/>
              </w:rPr>
              <w:t>知识点</w:t>
            </w:r>
          </w:p>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教师带领学生重新梳理知识点</w:t>
            </w:r>
          </w:p>
        </w:tc>
        <w:tc>
          <w:tcPr>
            <w:tcW w:w="3060" w:type="dxa"/>
            <w:vAlign w:val="center"/>
          </w:tcPr>
          <w:p>
            <w:pPr>
              <w:spacing w:line="320" w:lineRule="exact"/>
              <w:rPr>
                <w:rFonts w:ascii="宋体" w:cs="仿宋"/>
                <w:sz w:val="24"/>
              </w:rPr>
            </w:pPr>
            <w:r>
              <w:rPr>
                <w:rFonts w:hint="eastAsia" w:ascii="宋体" w:hAnsi="宋体" w:cs="仿宋"/>
                <w:sz w:val="24"/>
              </w:rPr>
              <w:t>教师引导下巩固知识点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rPr>
                <w:rFonts w:ascii="宋体" w:cs="仿宋"/>
                <w:sz w:val="24"/>
              </w:rPr>
            </w:pPr>
          </w:p>
        </w:tc>
        <w:tc>
          <w:tcPr>
            <w:tcW w:w="1980" w:type="dxa"/>
            <w:vMerge w:val="continue"/>
            <w:vAlign w:val="center"/>
          </w:tcPr>
          <w:p>
            <w:pPr>
              <w:spacing w:line="320" w:lineRule="exact"/>
              <w:ind w:firstLine="480" w:firstLineChars="200"/>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指出本单元学生存在的问题，并提出解决方法</w:t>
            </w:r>
          </w:p>
        </w:tc>
        <w:tc>
          <w:tcPr>
            <w:tcW w:w="3060" w:type="dxa"/>
            <w:vAlign w:val="center"/>
          </w:tcPr>
          <w:p>
            <w:pPr>
              <w:spacing w:line="320" w:lineRule="exact"/>
              <w:rPr>
                <w:rFonts w:ascii="宋体" w:cs="仿宋"/>
                <w:sz w:val="24"/>
              </w:rPr>
            </w:pPr>
            <w:r>
              <w:rPr>
                <w:rFonts w:hint="eastAsia" w:ascii="宋体" w:hAnsi="宋体" w:cs="仿宋"/>
                <w:sz w:val="24"/>
              </w:rPr>
              <w:t>发现并解决问题</w:t>
            </w:r>
          </w:p>
        </w:tc>
        <w:tc>
          <w:tcPr>
            <w:tcW w:w="1080" w:type="dxa"/>
            <w:vMerge w:val="continue"/>
            <w:vAlign w:val="center"/>
          </w:tcPr>
          <w:p>
            <w:pPr>
              <w:spacing w:line="320" w:lineRule="exact"/>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40" w:type="dxa"/>
            <w:vAlign w:val="center"/>
          </w:tcPr>
          <w:p>
            <w:pPr>
              <w:spacing w:line="320" w:lineRule="exact"/>
              <w:rPr>
                <w:rFonts w:ascii="宋体" w:cs="仿宋"/>
                <w:sz w:val="24"/>
              </w:rPr>
            </w:pPr>
            <w:r>
              <w:rPr>
                <w:rFonts w:hint="eastAsia" w:ascii="宋体" w:hAnsi="宋体" w:cs="仿宋"/>
                <w:sz w:val="24"/>
              </w:rPr>
              <w:t>作业</w:t>
            </w:r>
          </w:p>
        </w:tc>
        <w:tc>
          <w:tcPr>
            <w:tcW w:w="9540" w:type="dxa"/>
            <w:gridSpan w:val="4"/>
            <w:vAlign w:val="center"/>
          </w:tcPr>
          <w:p>
            <w:pPr>
              <w:widowControl/>
              <w:spacing w:line="320" w:lineRule="exact"/>
              <w:rPr>
                <w:rFonts w:ascii="宋体" w:cs="仿宋"/>
                <w:sz w:val="24"/>
              </w:rPr>
            </w:pPr>
            <w:r>
              <w:rPr>
                <w:rFonts w:hint="eastAsia" w:ascii="宋体" w:hAnsi="宋体" w:cs="仿宋"/>
                <w:sz w:val="24"/>
              </w:rPr>
              <w:t>扩展训练：（考核项目）</w:t>
            </w:r>
            <w:r>
              <w:rPr>
                <w:rFonts w:ascii="宋体" w:hAnsi="宋体" w:cs="仿宋"/>
                <w:sz w:val="24"/>
              </w:rPr>
              <w:t xml:space="preserve">       </w:t>
            </w:r>
            <w:r>
              <w:rPr>
                <w:rFonts w:hint="eastAsia" w:ascii="宋体" w:hAnsi="宋体" w:cs="仿宋"/>
                <w:sz w:val="24"/>
              </w:rPr>
              <w:t>教师给出类似任务，学生独立完成任务</w:t>
            </w:r>
            <w:r>
              <w:rPr>
                <w:rFonts w:ascii="宋体" w:hAnsi="宋体" w:cs="仿宋"/>
                <w:sz w:val="24"/>
              </w:rPr>
              <w:t xml:space="preserve">  </w:t>
            </w:r>
          </w:p>
        </w:tc>
      </w:tr>
    </w:tbl>
    <w:p>
      <w:pPr>
        <w:rPr>
          <w:rFonts w:ascii="仿宋" w:hAnsi="仿宋" w:eastAsia="仿宋" w:cs="仿宋"/>
        </w:rPr>
      </w:pPr>
    </w:p>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知识链接：</w:t>
      </w:r>
    </w:p>
    <w:p>
      <w:pPr>
        <w:adjustRightInd w:val="0"/>
        <w:snapToGrid w:val="0"/>
        <w:spacing w:line="360" w:lineRule="auto"/>
        <w:rPr>
          <w:sz w:val="24"/>
        </w:rPr>
      </w:pPr>
      <w:r>
        <w:rPr>
          <w:rFonts w:hint="eastAsia"/>
          <w:sz w:val="24"/>
        </w:rPr>
        <w:t>物流获利能力指标</w:t>
      </w:r>
    </w:p>
    <w:p>
      <w:pPr>
        <w:adjustRightInd w:val="0"/>
        <w:snapToGrid w:val="0"/>
        <w:spacing w:line="360" w:lineRule="auto"/>
        <w:rPr>
          <w:sz w:val="24"/>
        </w:rPr>
      </w:pPr>
      <w:r>
        <w:rPr>
          <w:rFonts w:hint="eastAsia"/>
          <w:sz w:val="24"/>
        </w:rPr>
        <w:t>（</w:t>
      </w:r>
      <w:r>
        <w:rPr>
          <w:sz w:val="24"/>
        </w:rPr>
        <w:t>1</w:t>
      </w:r>
      <w:r>
        <w:rPr>
          <w:rFonts w:hint="eastAsia"/>
          <w:sz w:val="24"/>
        </w:rPr>
        <w:t>）物流作业利润率</w:t>
      </w:r>
    </w:p>
    <w:p>
      <w:pPr>
        <w:adjustRightInd w:val="0"/>
        <w:snapToGrid w:val="0"/>
        <w:spacing w:line="360" w:lineRule="auto"/>
        <w:rPr>
          <w:sz w:val="24"/>
        </w:rPr>
      </w:pPr>
      <w:r>
        <w:rPr>
          <w:rFonts w:hint="eastAsia"/>
          <w:sz w:val="24"/>
        </w:rPr>
        <w:t>物流作业利润率</w:t>
      </w:r>
      <w:r>
        <w:rPr>
          <w:sz w:val="24"/>
        </w:rPr>
        <w:t>=</w:t>
      </w:r>
      <w:r>
        <w:rPr>
          <w:rFonts w:hint="eastAsia"/>
          <w:sz w:val="24"/>
        </w:rPr>
        <w:t>物流利润</w:t>
      </w:r>
      <w:r>
        <w:rPr>
          <w:sz w:val="24"/>
        </w:rPr>
        <w:t>/</w:t>
      </w:r>
      <w:r>
        <w:rPr>
          <w:rFonts w:hint="eastAsia"/>
          <w:sz w:val="24"/>
        </w:rPr>
        <w:t>物流营业净额</w:t>
      </w:r>
    </w:p>
    <w:p>
      <w:pPr>
        <w:adjustRightInd w:val="0"/>
        <w:snapToGrid w:val="0"/>
        <w:spacing w:line="360" w:lineRule="auto"/>
        <w:rPr>
          <w:sz w:val="24"/>
        </w:rPr>
      </w:pPr>
      <w:r>
        <w:rPr>
          <w:sz w:val="24"/>
        </w:rPr>
        <w:t>(2)</w:t>
      </w:r>
      <w:r>
        <w:rPr>
          <w:rFonts w:hint="eastAsia"/>
          <w:sz w:val="24"/>
        </w:rPr>
        <w:t>物流作业的成本利润率。</w:t>
      </w:r>
    </w:p>
    <w:p>
      <w:pPr>
        <w:adjustRightInd w:val="0"/>
        <w:snapToGrid w:val="0"/>
        <w:spacing w:line="360" w:lineRule="auto"/>
        <w:rPr>
          <w:sz w:val="24"/>
        </w:rPr>
      </w:pPr>
      <w:r>
        <w:rPr>
          <w:sz w:val="24"/>
        </w:rPr>
        <w:t xml:space="preserve">    </w:t>
      </w:r>
      <w:r>
        <w:rPr>
          <w:rFonts w:hint="eastAsia"/>
          <w:sz w:val="24"/>
        </w:rPr>
        <w:t>物流作业成本利润率＝物流利润助流成本</w:t>
      </w:r>
    </w:p>
    <w:p>
      <w:pPr>
        <w:adjustRightInd w:val="0"/>
        <w:snapToGrid w:val="0"/>
        <w:spacing w:line="360" w:lineRule="auto"/>
        <w:rPr>
          <w:sz w:val="24"/>
        </w:rPr>
      </w:pPr>
      <w:r>
        <w:rPr>
          <w:sz w:val="24"/>
        </w:rPr>
        <w:t xml:space="preserve">    (3)</w:t>
      </w:r>
      <w:r>
        <w:rPr>
          <w:rFonts w:hint="eastAsia"/>
          <w:sz w:val="24"/>
        </w:rPr>
        <w:t>物流作业的资产利润率</w:t>
      </w:r>
    </w:p>
    <w:p>
      <w:pPr>
        <w:adjustRightInd w:val="0"/>
        <w:snapToGrid w:val="0"/>
        <w:spacing w:line="360" w:lineRule="auto"/>
        <w:rPr>
          <w:sz w:val="24"/>
        </w:rPr>
      </w:pPr>
      <w:r>
        <w:rPr>
          <w:sz w:val="24"/>
        </w:rPr>
        <w:t xml:space="preserve">    1)</w:t>
      </w:r>
      <w:r>
        <w:rPr>
          <w:rFonts w:hint="eastAsia"/>
          <w:sz w:val="24"/>
        </w:rPr>
        <w:t>物流总资产利润率。根据利润层次的不同，可以列出三类物流总资产利润率：</w:t>
      </w:r>
    </w:p>
    <w:p>
      <w:pPr>
        <w:adjustRightInd w:val="0"/>
        <w:snapToGrid w:val="0"/>
        <w:spacing w:line="360" w:lineRule="auto"/>
        <w:rPr>
          <w:sz w:val="24"/>
        </w:rPr>
      </w:pPr>
      <w:r>
        <w:rPr>
          <w:sz w:val="24"/>
        </w:rPr>
        <w:t xml:space="preserve">    </w:t>
      </w:r>
      <w:r>
        <w:rPr>
          <w:rFonts w:hint="eastAsia"/>
          <w:sz w:val="24"/>
        </w:rPr>
        <w:t>物流总资产息税前利润率；息税前物流利润总额</w:t>
      </w:r>
      <w:r>
        <w:rPr>
          <w:sz w:val="24"/>
        </w:rPr>
        <w:t>/</w:t>
      </w:r>
      <w:r>
        <w:rPr>
          <w:rFonts w:hint="eastAsia"/>
          <w:sz w:val="24"/>
        </w:rPr>
        <w:t>均物流资产总额</w:t>
      </w:r>
    </w:p>
    <w:p>
      <w:pPr>
        <w:adjustRightInd w:val="0"/>
        <w:snapToGrid w:val="0"/>
        <w:spacing w:line="360" w:lineRule="auto"/>
        <w:rPr>
          <w:sz w:val="24"/>
        </w:rPr>
      </w:pPr>
      <w:r>
        <w:rPr>
          <w:sz w:val="24"/>
        </w:rPr>
        <w:t xml:space="preserve">    </w:t>
      </w:r>
      <w:r>
        <w:rPr>
          <w:rFonts w:hint="eastAsia"/>
          <w:sz w:val="24"/>
        </w:rPr>
        <w:t>物流总资产利润率＝物流利润总额</w:t>
      </w:r>
      <w:r>
        <w:rPr>
          <w:sz w:val="24"/>
        </w:rPr>
        <w:t>/</w:t>
      </w:r>
      <w:r>
        <w:rPr>
          <w:rFonts w:hint="eastAsia"/>
          <w:sz w:val="24"/>
        </w:rPr>
        <w:t>均物流资产总额</w:t>
      </w:r>
    </w:p>
    <w:p>
      <w:pPr>
        <w:adjustRightInd w:val="0"/>
        <w:snapToGrid w:val="0"/>
        <w:spacing w:line="360" w:lineRule="auto"/>
        <w:rPr>
          <w:sz w:val="24"/>
        </w:rPr>
      </w:pPr>
      <w:r>
        <w:rPr>
          <w:sz w:val="24"/>
        </w:rPr>
        <w:t xml:space="preserve">    </w:t>
      </w:r>
      <w:r>
        <w:rPr>
          <w:rFonts w:hint="eastAsia"/>
          <w:sz w:val="24"/>
        </w:rPr>
        <w:t>物流总资产净利润率＝物流利润净额</w:t>
      </w:r>
      <w:r>
        <w:rPr>
          <w:sz w:val="24"/>
        </w:rPr>
        <w:t>/</w:t>
      </w:r>
      <w:r>
        <w:rPr>
          <w:rFonts w:hint="eastAsia"/>
          <w:sz w:val="24"/>
        </w:rPr>
        <w:t>均物流资产总额</w:t>
      </w:r>
    </w:p>
    <w:p>
      <w:pPr>
        <w:adjustRightInd w:val="0"/>
        <w:snapToGrid w:val="0"/>
        <w:spacing w:line="360" w:lineRule="auto"/>
        <w:rPr>
          <w:sz w:val="24"/>
        </w:rPr>
      </w:pPr>
      <w:r>
        <w:rPr>
          <w:sz w:val="24"/>
        </w:rPr>
        <w:t xml:space="preserve">    2)</w:t>
      </w:r>
      <w:r>
        <w:rPr>
          <w:rFonts w:hint="eastAsia"/>
          <w:sz w:val="24"/>
        </w:rPr>
        <w:t>物流流动资产利润率。</w:t>
      </w:r>
    </w:p>
    <w:p>
      <w:pPr>
        <w:adjustRightInd w:val="0"/>
        <w:snapToGrid w:val="0"/>
        <w:spacing w:line="360" w:lineRule="auto"/>
        <w:rPr>
          <w:sz w:val="24"/>
        </w:rPr>
      </w:pPr>
      <w:r>
        <w:rPr>
          <w:sz w:val="24"/>
        </w:rPr>
        <w:t xml:space="preserve">    </w:t>
      </w:r>
      <w:r>
        <w:rPr>
          <w:rFonts w:hint="eastAsia"/>
          <w:sz w:val="24"/>
        </w:rPr>
        <w:t>物流流动资产经营利润率</w:t>
      </w:r>
      <w:r>
        <w:rPr>
          <w:sz w:val="24"/>
        </w:rPr>
        <w:t>=</w:t>
      </w:r>
      <w:r>
        <w:rPr>
          <w:rFonts w:hint="eastAsia"/>
          <w:sz w:val="24"/>
        </w:rPr>
        <w:t>物流经营利润</w:t>
      </w:r>
      <w:r>
        <w:rPr>
          <w:sz w:val="24"/>
        </w:rPr>
        <w:t>/</w:t>
      </w:r>
      <w:r>
        <w:rPr>
          <w:rFonts w:hint="eastAsia"/>
          <w:sz w:val="24"/>
        </w:rPr>
        <w:t>物流流动资产平均占用额</w:t>
      </w:r>
    </w:p>
    <w:p>
      <w:pPr>
        <w:adjustRightInd w:val="0"/>
        <w:snapToGrid w:val="0"/>
        <w:spacing w:line="360" w:lineRule="auto"/>
        <w:rPr>
          <w:sz w:val="24"/>
        </w:rPr>
      </w:pPr>
      <w:r>
        <w:rPr>
          <w:sz w:val="24"/>
        </w:rPr>
        <w:t xml:space="preserve">    </w:t>
      </w:r>
      <w:r>
        <w:rPr>
          <w:rFonts w:hint="eastAsia"/>
          <w:sz w:val="24"/>
        </w:rPr>
        <w:t>物流流动资产营业利润串＝物流营业利润</w:t>
      </w:r>
      <w:r>
        <w:rPr>
          <w:sz w:val="24"/>
        </w:rPr>
        <w:t>/</w:t>
      </w:r>
      <w:r>
        <w:rPr>
          <w:rFonts w:hint="eastAsia"/>
          <w:sz w:val="24"/>
        </w:rPr>
        <w:t>物流流动资产平均占用额</w:t>
      </w:r>
    </w:p>
    <w:p>
      <w:pPr>
        <w:adjustRightInd w:val="0"/>
        <w:snapToGrid w:val="0"/>
        <w:spacing w:line="360" w:lineRule="auto"/>
        <w:rPr>
          <w:sz w:val="24"/>
        </w:rPr>
      </w:pPr>
      <w:r>
        <w:rPr>
          <w:sz w:val="24"/>
        </w:rPr>
        <w:t xml:space="preserve">    </w:t>
      </w:r>
      <w:r>
        <w:rPr>
          <w:rFonts w:hint="eastAsia"/>
          <w:sz w:val="24"/>
        </w:rPr>
        <w:t>其中，物流流动资产经营利润率比物流流动资产营业利润率更为重要。</w:t>
      </w:r>
    </w:p>
    <w:p>
      <w:pPr>
        <w:adjustRightInd w:val="0"/>
        <w:snapToGrid w:val="0"/>
        <w:spacing w:line="360" w:lineRule="auto"/>
        <w:rPr>
          <w:sz w:val="24"/>
        </w:rPr>
      </w:pPr>
      <w:r>
        <w:rPr>
          <w:sz w:val="24"/>
        </w:rPr>
        <w:t xml:space="preserve">    3)</w:t>
      </w:r>
      <w:r>
        <w:rPr>
          <w:rFonts w:hint="eastAsia"/>
          <w:sz w:val="24"/>
        </w:rPr>
        <w:t>物流固定资产利润率。由于物流固定资产是物流流动资产周转获利的物质基础，</w:t>
      </w:r>
    </w:p>
    <w:p>
      <w:pPr>
        <w:adjustRightInd w:val="0"/>
        <w:snapToGrid w:val="0"/>
        <w:spacing w:line="360" w:lineRule="auto"/>
        <w:rPr>
          <w:sz w:val="24"/>
        </w:rPr>
      </w:pPr>
      <w:r>
        <w:rPr>
          <w:rFonts w:hint="eastAsia"/>
          <w:sz w:val="24"/>
        </w:rPr>
        <w:t>因此，还应当考察物流固定资产利润率，公式如下：</w:t>
      </w:r>
    </w:p>
    <w:p>
      <w:pPr>
        <w:adjustRightInd w:val="0"/>
        <w:snapToGrid w:val="0"/>
        <w:spacing w:line="360" w:lineRule="auto"/>
        <w:rPr>
          <w:sz w:val="24"/>
        </w:rPr>
      </w:pPr>
      <w:r>
        <w:rPr>
          <w:sz w:val="24"/>
        </w:rPr>
        <w:t xml:space="preserve">    </w:t>
      </w:r>
      <w:r>
        <w:rPr>
          <w:rFonts w:hint="eastAsia"/>
          <w:sz w:val="24"/>
        </w:rPr>
        <w:t>物流固定资产经营利润率＝物流经营利润＝物流固定资产平均占用额</w:t>
      </w:r>
    </w:p>
    <w:p>
      <w:pPr>
        <w:adjustRightInd w:val="0"/>
        <w:snapToGrid w:val="0"/>
        <w:spacing w:line="360" w:lineRule="auto"/>
        <w:rPr>
          <w:sz w:val="24"/>
        </w:rPr>
      </w:pPr>
      <w:r>
        <w:rPr>
          <w:sz w:val="24"/>
        </w:rPr>
        <w:t xml:space="preserve">  </w:t>
      </w:r>
      <w:r>
        <w:rPr>
          <w:rFonts w:hint="eastAsia"/>
          <w:sz w:val="24"/>
        </w:rPr>
        <w:t>；</w:t>
      </w:r>
      <w:r>
        <w:rPr>
          <w:sz w:val="24"/>
        </w:rPr>
        <w:t>(</w:t>
      </w:r>
      <w:r>
        <w:rPr>
          <w:rFonts w:hint="eastAsia"/>
          <w:sz w:val="24"/>
        </w:rPr>
        <w:t>物流流动资产平均占用额砌流固定资产平均额</w:t>
      </w:r>
      <w:r>
        <w:rPr>
          <w:sz w:val="24"/>
        </w:rPr>
        <w:t>)x</w:t>
      </w:r>
      <w:r>
        <w:rPr>
          <w:rFonts w:hint="eastAsia"/>
          <w:sz w:val="24"/>
        </w:rPr>
        <w:t>物流流动资产经营利润率</w:t>
      </w:r>
    </w:p>
    <w:p>
      <w:pPr>
        <w:adjustRightInd w:val="0"/>
        <w:snapToGrid w:val="0"/>
        <w:spacing w:line="360" w:lineRule="auto"/>
        <w:rPr>
          <w:sz w:val="24"/>
        </w:rPr>
      </w:pPr>
      <w:r>
        <w:rPr>
          <w:sz w:val="24"/>
        </w:rPr>
        <w:t xml:space="preserve">    </w:t>
      </w:r>
      <w:r>
        <w:rPr>
          <w:rFonts w:hint="eastAsia"/>
          <w:sz w:val="24"/>
        </w:rPr>
        <w:t>物流固定资产营业利润串；物流营业利润十物流固定资产平均占用额</w:t>
      </w:r>
    </w:p>
    <w:p>
      <w:pPr>
        <w:adjustRightInd w:val="0"/>
        <w:snapToGrid w:val="0"/>
        <w:spacing w:line="360" w:lineRule="auto"/>
        <w:rPr>
          <w:sz w:val="24"/>
        </w:rPr>
      </w:pPr>
      <w:r>
        <w:rPr>
          <w:sz w:val="24"/>
        </w:rPr>
        <w:t xml:space="preserve">  </w:t>
      </w:r>
      <w:r>
        <w:rPr>
          <w:rFonts w:hint="eastAsia"/>
          <w:sz w:val="24"/>
        </w:rPr>
        <w:t>＝</w:t>
      </w:r>
      <w:r>
        <w:rPr>
          <w:sz w:val="24"/>
        </w:rPr>
        <w:t>(</w:t>
      </w:r>
      <w:r>
        <w:rPr>
          <w:rFonts w:hint="eastAsia"/>
          <w:sz w:val="24"/>
        </w:rPr>
        <w:t>物流流动资产平均占用额助流固定资产平均额</w:t>
      </w:r>
      <w:r>
        <w:rPr>
          <w:sz w:val="24"/>
        </w:rPr>
        <w:t>)x</w:t>
      </w:r>
      <w:r>
        <w:rPr>
          <w:rFonts w:hint="eastAsia"/>
          <w:sz w:val="24"/>
        </w:rPr>
        <w:t>物流流动资产营业利润率</w:t>
      </w:r>
    </w:p>
    <w:p>
      <w:pPr>
        <w:adjustRightInd w:val="0"/>
        <w:snapToGrid w:val="0"/>
        <w:spacing w:line="360" w:lineRule="auto"/>
        <w:rPr>
          <w:sz w:val="24"/>
        </w:rPr>
      </w:pPr>
      <w:r>
        <w:rPr>
          <w:rFonts w:hint="eastAsia"/>
          <w:sz w:val="24"/>
        </w:rPr>
        <w:t>以上三大类指标均为正向指标。</w:t>
      </w:r>
      <w:r>
        <w:rPr>
          <w:sz w:val="24"/>
        </w:rPr>
        <w:t xml:space="preserve">    </w:t>
      </w:r>
    </w:p>
    <w:p>
      <w:pPr>
        <w:adjustRightInd w:val="0"/>
        <w:snapToGrid w:val="0"/>
        <w:spacing w:line="360" w:lineRule="auto"/>
        <w:rPr>
          <w:sz w:val="24"/>
        </w:rPr>
      </w:pPr>
      <w:r>
        <w:rPr>
          <w:sz w:val="24"/>
        </w:rPr>
        <w:t>(4)</w:t>
      </w:r>
      <w:r>
        <w:rPr>
          <w:rFonts w:hint="eastAsia"/>
          <w:sz w:val="24"/>
        </w:rPr>
        <w:t>物流作业的净资产利润率。物流作业的净资产利润率用以下公式表示</w:t>
      </w:r>
    </w:p>
    <w:p>
      <w:pPr>
        <w:adjustRightInd w:val="0"/>
        <w:snapToGrid w:val="0"/>
        <w:spacing w:line="360" w:lineRule="auto"/>
        <w:ind w:firstLine="480"/>
        <w:rPr>
          <w:sz w:val="24"/>
        </w:rPr>
      </w:pPr>
      <w:r>
        <w:rPr>
          <w:rFonts w:hint="eastAsia"/>
          <w:sz w:val="24"/>
        </w:rPr>
        <w:t>物流净资产利润率＝物流利润净额砌流净资产</w:t>
      </w:r>
    </w:p>
    <w:p>
      <w:pPr>
        <w:adjustRightInd w:val="0"/>
        <w:snapToGrid w:val="0"/>
        <w:spacing w:line="360" w:lineRule="auto"/>
        <w:rPr>
          <w:b/>
          <w:sz w:val="24"/>
        </w:rPr>
      </w:pPr>
      <w:r>
        <w:rPr>
          <w:rFonts w:hint="eastAsia"/>
          <w:b/>
          <w:sz w:val="24"/>
        </w:rPr>
        <w:t>利用量本利分析进行物流成本决策</w:t>
      </w:r>
    </w:p>
    <w:p>
      <w:pPr>
        <w:adjustRightInd w:val="0"/>
        <w:snapToGrid w:val="0"/>
        <w:spacing w:line="360" w:lineRule="auto"/>
        <w:rPr>
          <w:sz w:val="24"/>
        </w:rPr>
      </w:pPr>
      <w:r>
        <w:rPr>
          <w:rFonts w:hint="eastAsia"/>
          <w:sz w:val="24"/>
        </w:rPr>
        <w:t>（一）量本利分析概述</w:t>
      </w:r>
    </w:p>
    <w:p>
      <w:pPr>
        <w:adjustRightInd w:val="0"/>
        <w:snapToGrid w:val="0"/>
        <w:spacing w:line="360" w:lineRule="auto"/>
        <w:rPr>
          <w:sz w:val="24"/>
        </w:rPr>
      </w:pPr>
      <w:r>
        <w:rPr>
          <w:sz w:val="24"/>
        </w:rPr>
        <w:t xml:space="preserve">    1</w:t>
      </w:r>
      <w:r>
        <w:rPr>
          <w:rFonts w:hint="eastAsia"/>
          <w:sz w:val="24"/>
        </w:rPr>
        <w:t>．量本利分析的基本原理与相关概念</w:t>
      </w:r>
    </w:p>
    <w:p>
      <w:pPr>
        <w:adjustRightInd w:val="0"/>
        <w:snapToGrid w:val="0"/>
        <w:spacing w:line="360" w:lineRule="auto"/>
        <w:rPr>
          <w:sz w:val="24"/>
        </w:rPr>
      </w:pPr>
      <w:r>
        <w:rPr>
          <w:rFonts w:hint="eastAsia"/>
          <w:sz w:val="24"/>
        </w:rPr>
        <w:t>量本利分析（</w:t>
      </w:r>
      <w:r>
        <w:rPr>
          <w:sz w:val="24"/>
        </w:rPr>
        <w:t>VCP</w:t>
      </w:r>
      <w:r>
        <w:rPr>
          <w:rFonts w:hint="eastAsia"/>
          <w:sz w:val="24"/>
        </w:rPr>
        <w:t>分析）又称本量利分析（</w:t>
      </w:r>
      <w:r>
        <w:rPr>
          <w:sz w:val="24"/>
        </w:rPr>
        <w:t>CVP</w:t>
      </w:r>
      <w:r>
        <w:rPr>
          <w:rFonts w:hint="eastAsia"/>
          <w:sz w:val="24"/>
        </w:rPr>
        <w:t>分析），是成本</w:t>
      </w:r>
      <w:r>
        <w:rPr>
          <w:sz w:val="24"/>
        </w:rPr>
        <w:t>—</w:t>
      </w:r>
      <w:r>
        <w:rPr>
          <w:rFonts w:hint="eastAsia"/>
          <w:sz w:val="24"/>
        </w:rPr>
        <w:t>业务量</w:t>
      </w:r>
      <w:r>
        <w:rPr>
          <w:sz w:val="24"/>
        </w:rPr>
        <w:t>—</w:t>
      </w:r>
      <w:r>
        <w:rPr>
          <w:rFonts w:hint="eastAsia"/>
          <w:sz w:val="24"/>
        </w:rPr>
        <w:t>利润关系分析的简称。</w:t>
      </w:r>
    </w:p>
    <w:p>
      <w:pPr>
        <w:adjustRightInd w:val="0"/>
        <w:snapToGrid w:val="0"/>
        <w:spacing w:line="360" w:lineRule="auto"/>
        <w:rPr>
          <w:sz w:val="24"/>
        </w:rPr>
      </w:pPr>
      <w:r>
        <w:rPr>
          <w:sz w:val="24"/>
        </w:rPr>
        <w:t>2</w:t>
      </w:r>
      <w:r>
        <w:rPr>
          <w:rFonts w:hint="eastAsia"/>
          <w:sz w:val="24"/>
        </w:rPr>
        <w:t>．量本利分析图</w:t>
      </w:r>
    </w:p>
    <w:p>
      <w:pPr>
        <w:adjustRightInd w:val="0"/>
        <w:snapToGrid w:val="0"/>
        <w:spacing w:line="360" w:lineRule="auto"/>
        <w:rPr>
          <w:sz w:val="24"/>
        </w:rPr>
      </w:pPr>
      <w:r>
        <w:rPr>
          <w:sz w:val="24"/>
        </w:rPr>
        <w:t xml:space="preserve">    </w:t>
      </w:r>
      <w:r>
        <w:rPr>
          <w:rFonts w:hint="eastAsia"/>
          <w:sz w:val="24"/>
        </w:rPr>
        <w:t>在量本利分析固中：‘轴为营业量；</w:t>
      </w:r>
      <w:r>
        <w:rPr>
          <w:sz w:val="24"/>
        </w:rPr>
        <w:t>y</w:t>
      </w:r>
      <w:r>
        <w:rPr>
          <w:rFonts w:hint="eastAsia"/>
          <w:sz w:val="24"/>
        </w:rPr>
        <w:t>轴为销售额与成本。通过该图，可以看出：</w:t>
      </w:r>
    </w:p>
    <w:p>
      <w:pPr>
        <w:adjustRightInd w:val="0"/>
        <w:snapToGrid w:val="0"/>
        <w:spacing w:line="360" w:lineRule="auto"/>
        <w:rPr>
          <w:sz w:val="24"/>
        </w:rPr>
      </w:pPr>
      <w:r>
        <w:rPr>
          <w:sz w:val="24"/>
        </w:rPr>
        <w:t>(1)</w:t>
      </w:r>
      <w:r>
        <w:rPr>
          <w:rFonts w:hint="eastAsia"/>
          <w:sz w:val="24"/>
        </w:rPr>
        <w:t>当企业的营业量恰好为盈亏平衡点的营业量，企业处于盈亏平衡的状态，既不盈利也不亏损；如果企业在达到盈亏平衡的基础上多出售一个单位的产：品或服务，即可获得盈利，进入盈利区，其盈利额等于一个单位边际贡献，企业的营业量越大，能实现的盈利也就越多。如果企业的营业量低于盈亏平衡点。则企业出现亏损，进入亏损区，其业务量低于盈亏平衡点一个单位，就会亏损一个单位边际贡献，营业量越少，亏损额就越大。</w:t>
      </w:r>
      <w:r>
        <w:rPr>
          <w:sz w:val="24"/>
        </w:rPr>
        <w:t xml:space="preserve">   </w:t>
      </w:r>
    </w:p>
    <w:p>
      <w:pPr>
        <w:adjustRightInd w:val="0"/>
        <w:snapToGrid w:val="0"/>
        <w:spacing w:line="360" w:lineRule="auto"/>
        <w:rPr>
          <w:sz w:val="24"/>
        </w:rPr>
      </w:pPr>
      <w:r>
        <w:rPr>
          <w:sz w:val="24"/>
        </w:rPr>
        <w:t>(2)</w:t>
      </w:r>
      <w:r>
        <w:rPr>
          <w:rFonts w:hint="eastAsia"/>
          <w:sz w:val="24"/>
        </w:rPr>
        <w:t>盈亏平衡点降低，盈利区的面积就会扩大，亏损区的面积就会缩小，这时企业产品或服务会比以前更容易获得盈利。在营业量不变的情况下，盈亏平衡点降低，依赖于单位边际贡献的提高。反之，亦然。</w:t>
      </w:r>
    </w:p>
    <w:p>
      <w:pPr>
        <w:adjustRightInd w:val="0"/>
        <w:snapToGrid w:val="0"/>
        <w:spacing w:line="360" w:lineRule="auto"/>
        <w:rPr>
          <w:sz w:val="24"/>
        </w:rPr>
      </w:pPr>
      <w:r>
        <w:rPr>
          <w:sz w:val="24"/>
        </w:rPr>
        <w:t xml:space="preserve"> (</w:t>
      </w:r>
      <w:r>
        <w:rPr>
          <w:rFonts w:hint="eastAsia"/>
          <w:sz w:val="24"/>
        </w:rPr>
        <w:t>二</w:t>
      </w:r>
      <w:r>
        <w:rPr>
          <w:sz w:val="24"/>
        </w:rPr>
        <w:t>)</w:t>
      </w:r>
      <w:r>
        <w:rPr>
          <w:rFonts w:hint="eastAsia"/>
          <w:sz w:val="24"/>
        </w:rPr>
        <w:t>通过物流作业的量本利分析</w:t>
      </w:r>
    </w:p>
    <w:p>
      <w:pPr>
        <w:adjustRightInd w:val="0"/>
        <w:snapToGrid w:val="0"/>
        <w:spacing w:line="360" w:lineRule="auto"/>
        <w:rPr>
          <w:sz w:val="24"/>
        </w:rPr>
      </w:pPr>
      <w:r>
        <w:rPr>
          <w:sz w:val="24"/>
        </w:rPr>
        <w:t xml:space="preserve"> 1</w:t>
      </w:r>
      <w:r>
        <w:rPr>
          <w:rFonts w:hint="eastAsia"/>
          <w:sz w:val="24"/>
        </w:rPr>
        <w:t>．对物流业务量</w:t>
      </w:r>
      <w:r>
        <w:rPr>
          <w:sz w:val="24"/>
        </w:rPr>
        <w:t>(</w:t>
      </w:r>
      <w:r>
        <w:rPr>
          <w:rFonts w:hint="eastAsia"/>
          <w:sz w:val="24"/>
        </w:rPr>
        <w:t>额</w:t>
      </w:r>
      <w:r>
        <w:rPr>
          <w:sz w:val="24"/>
        </w:rPr>
        <w:t>)</w:t>
      </w:r>
      <w:r>
        <w:rPr>
          <w:rFonts w:hint="eastAsia"/>
          <w:sz w:val="24"/>
        </w:rPr>
        <w:t>的决策</w:t>
      </w:r>
    </w:p>
    <w:p>
      <w:pPr>
        <w:adjustRightInd w:val="0"/>
        <w:snapToGrid w:val="0"/>
        <w:spacing w:line="360" w:lineRule="auto"/>
        <w:rPr>
          <w:sz w:val="24"/>
        </w:rPr>
      </w:pPr>
      <w:r>
        <w:rPr>
          <w:rFonts w:hint="eastAsia"/>
          <w:sz w:val="24"/>
        </w:rPr>
        <w:t>（</w:t>
      </w:r>
      <w:r>
        <w:rPr>
          <w:sz w:val="24"/>
        </w:rPr>
        <w:t>1</w:t>
      </w:r>
      <w:r>
        <w:rPr>
          <w:rFonts w:hint="eastAsia"/>
          <w:sz w:val="24"/>
        </w:rPr>
        <w:t>）确定物流作业的盈亏平衡点。</w:t>
      </w:r>
    </w:p>
    <w:p>
      <w:pPr>
        <w:adjustRightInd w:val="0"/>
        <w:snapToGrid w:val="0"/>
        <w:spacing w:line="360" w:lineRule="auto"/>
        <w:rPr>
          <w:sz w:val="24"/>
        </w:rPr>
      </w:pPr>
      <w:r>
        <w:rPr>
          <w:rFonts w:hint="eastAsia"/>
          <w:sz w:val="24"/>
        </w:rPr>
        <w:t>所谓物流作业的盈亏平衡点，就是指物流作业在一定时期内的收入的与成本相等、既没有盈利也不亏损、利润额为零。</w:t>
      </w:r>
    </w:p>
    <w:p>
      <w:pPr>
        <w:adjustRightInd w:val="0"/>
        <w:snapToGrid w:val="0"/>
        <w:spacing w:line="360" w:lineRule="auto"/>
        <w:rPr>
          <w:sz w:val="24"/>
        </w:rPr>
      </w:pPr>
      <w:r>
        <w:rPr>
          <w:sz w:val="24"/>
        </w:rPr>
        <w:t>1</w:t>
      </w:r>
      <w:r>
        <w:rPr>
          <w:rFonts w:hint="eastAsia"/>
          <w:sz w:val="24"/>
        </w:rPr>
        <w:t>）确定某项物流作业的盈亏平衡点的方法。</w:t>
      </w:r>
    </w:p>
    <w:p>
      <w:pPr>
        <w:adjustRightInd w:val="0"/>
        <w:snapToGrid w:val="0"/>
        <w:spacing w:line="360" w:lineRule="auto"/>
        <w:rPr>
          <w:sz w:val="24"/>
        </w:rPr>
      </w:pPr>
      <w:r>
        <w:rPr>
          <w:rFonts w:hint="eastAsia"/>
          <w:sz w:val="24"/>
        </w:rPr>
        <w:t>①绘图法。绘图法是指通过绘制量本利分析图来确定盈亏平衡点位置，进而确定盈亏平衡点营业量或营业额的方法。</w:t>
      </w:r>
    </w:p>
    <w:p>
      <w:pPr>
        <w:adjustRightInd w:val="0"/>
        <w:snapToGrid w:val="0"/>
        <w:spacing w:line="360" w:lineRule="auto"/>
        <w:rPr>
          <w:sz w:val="24"/>
        </w:rPr>
      </w:pPr>
      <w:r>
        <w:rPr>
          <w:rFonts w:hint="eastAsia"/>
          <w:sz w:val="24"/>
        </w:rPr>
        <w:t>②等式计算法。等式计算法是通过量本利关系基本公式计算盈亏平衡状态下的营业量，进而计算营业额的方法。</w:t>
      </w:r>
    </w:p>
    <w:p>
      <w:pPr>
        <w:adjustRightInd w:val="0"/>
        <w:snapToGrid w:val="0"/>
        <w:spacing w:line="360" w:lineRule="auto"/>
        <w:rPr>
          <w:sz w:val="24"/>
        </w:rPr>
      </w:pPr>
      <w:r>
        <w:rPr>
          <w:sz w:val="24"/>
        </w:rPr>
        <w:t xml:space="preserve"> 2)</w:t>
      </w:r>
      <w:r>
        <w:rPr>
          <w:rFonts w:hint="eastAsia"/>
          <w:sz w:val="24"/>
        </w:rPr>
        <w:t>相关要素变动对物流作业盈亏平衡点的影响。单独变动单价。单价变动会引起</w:t>
      </w:r>
    </w:p>
    <w:p>
      <w:pPr>
        <w:adjustRightInd w:val="0"/>
        <w:snapToGrid w:val="0"/>
        <w:spacing w:line="360" w:lineRule="auto"/>
        <w:rPr>
          <w:sz w:val="24"/>
        </w:rPr>
      </w:pPr>
      <w:r>
        <w:rPr>
          <w:rFonts w:hint="eastAsia"/>
          <w:sz w:val="24"/>
        </w:rPr>
        <w:t>单位边际贡献或边际贡献率的同向变动，从而使得盈亏平衡点业务量计算公式的分母发生变化，从而改变盈亏平衡点：</w:t>
      </w:r>
      <w:r>
        <w:rPr>
          <w:sz w:val="24"/>
        </w:rPr>
        <w:t xml:space="preserve"> </w:t>
      </w:r>
    </w:p>
    <w:p>
      <w:pPr>
        <w:adjustRightInd w:val="0"/>
        <w:snapToGrid w:val="0"/>
        <w:spacing w:line="360" w:lineRule="auto"/>
        <w:rPr>
          <w:sz w:val="24"/>
        </w:rPr>
      </w:pPr>
      <w:r>
        <w:rPr>
          <w:sz w:val="24"/>
        </w:rPr>
        <w:t xml:space="preserve">  </w:t>
      </w:r>
      <w:r>
        <w:rPr>
          <w:rFonts w:hint="eastAsia"/>
          <w:sz w:val="24"/>
        </w:rPr>
        <w:t>单独变动目标利润。目标利润单独变动不会改变盈亏平衡点。</w:t>
      </w:r>
    </w:p>
    <w:p>
      <w:pPr>
        <w:adjustRightInd w:val="0"/>
        <w:snapToGrid w:val="0"/>
        <w:spacing w:line="360" w:lineRule="auto"/>
        <w:rPr>
          <w:sz w:val="24"/>
        </w:rPr>
      </w:pPr>
      <w:r>
        <w:rPr>
          <w:sz w:val="24"/>
        </w:rPr>
        <w:t xml:space="preserve">  </w:t>
      </w:r>
      <w:r>
        <w:rPr>
          <w:rFonts w:hint="eastAsia"/>
          <w:sz w:val="24"/>
        </w:rPr>
        <w:t>单独变动营业量。营业量单独变动不会影响盈亏平衡点的高低。</w:t>
      </w:r>
    </w:p>
    <w:p>
      <w:pPr>
        <w:adjustRightInd w:val="0"/>
        <w:snapToGrid w:val="0"/>
        <w:spacing w:line="360" w:lineRule="auto"/>
        <w:rPr>
          <w:sz w:val="24"/>
        </w:rPr>
      </w:pPr>
      <w:r>
        <w:rPr>
          <w:sz w:val="24"/>
        </w:rPr>
        <w:t>(2)</w:t>
      </w:r>
      <w:r>
        <w:rPr>
          <w:rFonts w:hint="eastAsia"/>
          <w:sz w:val="24"/>
        </w:rPr>
        <w:t>进行物流经营安全程度的评价。当物流作业的营业量</w:t>
      </w:r>
      <w:r>
        <w:rPr>
          <w:sz w:val="24"/>
        </w:rPr>
        <w:t>(</w:t>
      </w:r>
      <w:r>
        <w:rPr>
          <w:rFonts w:hint="eastAsia"/>
          <w:sz w:val="24"/>
        </w:rPr>
        <w:t>额</w:t>
      </w:r>
      <w:r>
        <w:rPr>
          <w:sz w:val="24"/>
        </w:rPr>
        <w:t>)</w:t>
      </w:r>
      <w:r>
        <w:rPr>
          <w:rFonts w:hint="eastAsia"/>
          <w:sz w:val="24"/>
        </w:rPr>
        <w:t>超过盈亏平衡点以</w:t>
      </w:r>
    </w:p>
    <w:p>
      <w:pPr>
        <w:adjustRightInd w:val="0"/>
        <w:snapToGrid w:val="0"/>
        <w:spacing w:line="360" w:lineRule="auto"/>
        <w:rPr>
          <w:sz w:val="24"/>
        </w:rPr>
      </w:pPr>
      <w:r>
        <w:rPr>
          <w:rFonts w:hint="eastAsia"/>
          <w:sz w:val="24"/>
        </w:rPr>
        <w:t>后，企业还要对物流经营的安全程度进行评价，当安全度较低时，企业也需要采取相应措施提高营业量</w:t>
      </w:r>
      <w:r>
        <w:rPr>
          <w:sz w:val="24"/>
        </w:rPr>
        <w:t>(</w:t>
      </w:r>
      <w:r>
        <w:rPr>
          <w:rFonts w:hint="eastAsia"/>
          <w:sz w:val="24"/>
        </w:rPr>
        <w:t>额</w:t>
      </w:r>
      <w:r>
        <w:rPr>
          <w:sz w:val="24"/>
        </w:rPr>
        <w:t>)</w:t>
      </w:r>
      <w:r>
        <w:rPr>
          <w:rFonts w:hint="eastAsia"/>
          <w:sz w:val="24"/>
        </w:rPr>
        <w:t>，以保证物流经营的安全性。</w:t>
      </w:r>
    </w:p>
    <w:p>
      <w:pPr>
        <w:adjustRightInd w:val="0"/>
        <w:snapToGrid w:val="0"/>
        <w:spacing w:line="360" w:lineRule="auto"/>
        <w:rPr>
          <w:sz w:val="24"/>
        </w:rPr>
      </w:pPr>
      <w:r>
        <w:rPr>
          <w:sz w:val="24"/>
        </w:rPr>
        <w:t xml:space="preserve"> 1)</w:t>
      </w:r>
      <w:r>
        <w:rPr>
          <w:rFonts w:hint="eastAsia"/>
          <w:sz w:val="24"/>
        </w:rPr>
        <w:t>物流经营安全边际指标的计算。所谓安全边际指标是指将现有或预计的物流作业营业量</w:t>
      </w:r>
      <w:r>
        <w:rPr>
          <w:sz w:val="24"/>
        </w:rPr>
        <w:t>(</w:t>
      </w:r>
      <w:r>
        <w:rPr>
          <w:rFonts w:hint="eastAsia"/>
          <w:sz w:val="24"/>
        </w:rPr>
        <w:t>即可以用营业量</w:t>
      </w:r>
      <w:r>
        <w:rPr>
          <w:sz w:val="24"/>
        </w:rPr>
        <w:t xml:space="preserve">x 1 </w:t>
      </w:r>
      <w:r>
        <w:rPr>
          <w:rFonts w:hint="eastAsia"/>
          <w:sz w:val="24"/>
        </w:rPr>
        <w:t>表示也可以用营业额</w:t>
      </w:r>
      <w:r>
        <w:rPr>
          <w:sz w:val="24"/>
        </w:rPr>
        <w:t>y 1</w:t>
      </w:r>
      <w:r>
        <w:rPr>
          <w:rFonts w:hint="eastAsia"/>
          <w:sz w:val="24"/>
        </w:rPr>
        <w:t>表示</w:t>
      </w:r>
      <w:r>
        <w:rPr>
          <w:sz w:val="24"/>
        </w:rPr>
        <w:t>)</w:t>
      </w:r>
      <w:r>
        <w:rPr>
          <w:rFonts w:hint="eastAsia"/>
          <w:sz w:val="24"/>
        </w:rPr>
        <w:t>与处于盈亏平衡状态下的营业量进行比较，并由两者之间的差额确定的定量分析指标。</w:t>
      </w:r>
    </w:p>
    <w:p>
      <w:pPr>
        <w:adjustRightInd w:val="0"/>
        <w:snapToGrid w:val="0"/>
        <w:spacing w:line="360" w:lineRule="auto"/>
        <w:rPr>
          <w:sz w:val="24"/>
        </w:rPr>
      </w:pPr>
      <w:r>
        <w:rPr>
          <w:sz w:val="24"/>
        </w:rPr>
        <w:t xml:space="preserve"> 2)</w:t>
      </w:r>
      <w:r>
        <w:rPr>
          <w:rFonts w:hint="eastAsia"/>
          <w:sz w:val="24"/>
        </w:rPr>
        <w:t>相关要素变动对物流经营安全边际的影响。</w:t>
      </w:r>
    </w:p>
    <w:p>
      <w:pPr>
        <w:adjustRightInd w:val="0"/>
        <w:snapToGrid w:val="0"/>
        <w:spacing w:line="360" w:lineRule="auto"/>
        <w:rPr>
          <w:sz w:val="24"/>
        </w:rPr>
      </w:pPr>
      <w:r>
        <w:rPr>
          <w:sz w:val="24"/>
        </w:rPr>
        <w:t>2</w:t>
      </w:r>
      <w:r>
        <w:rPr>
          <w:rFonts w:hint="eastAsia"/>
          <w:sz w:val="24"/>
        </w:rPr>
        <w:t>．确定企业可以获得的利润额</w:t>
      </w:r>
    </w:p>
    <w:p>
      <w:pPr>
        <w:adjustRightInd w:val="0"/>
        <w:snapToGrid w:val="0"/>
        <w:spacing w:line="360" w:lineRule="auto"/>
        <w:rPr>
          <w:sz w:val="24"/>
        </w:rPr>
      </w:pPr>
      <w:r>
        <w:rPr>
          <w:sz w:val="24"/>
        </w:rPr>
        <w:t xml:space="preserve">    (1)</w:t>
      </w:r>
      <w:r>
        <w:rPr>
          <w:rFonts w:hint="eastAsia"/>
          <w:sz w:val="24"/>
        </w:rPr>
        <w:t>物流作业利润额的计算。</w:t>
      </w:r>
    </w:p>
    <w:p>
      <w:pPr>
        <w:adjustRightInd w:val="0"/>
        <w:snapToGrid w:val="0"/>
        <w:spacing w:line="360" w:lineRule="auto"/>
        <w:rPr>
          <w:sz w:val="24"/>
        </w:rPr>
      </w:pPr>
      <w:r>
        <w:rPr>
          <w:rFonts w:hint="eastAsia"/>
          <w:sz w:val="24"/>
        </w:rPr>
        <w:t>（</w:t>
      </w:r>
      <w:r>
        <w:rPr>
          <w:sz w:val="24"/>
        </w:rPr>
        <w:t>2</w:t>
      </w:r>
      <w:r>
        <w:rPr>
          <w:rFonts w:hint="eastAsia"/>
          <w:sz w:val="24"/>
        </w:rPr>
        <w:t>）相关要素变动对物流作业利润的影响。</w:t>
      </w:r>
    </w:p>
    <w:p>
      <w:pPr>
        <w:adjustRightInd w:val="0"/>
        <w:snapToGrid w:val="0"/>
        <w:spacing w:line="360" w:lineRule="auto"/>
        <w:rPr>
          <w:sz w:val="24"/>
        </w:rPr>
      </w:pPr>
      <w:r>
        <w:rPr>
          <w:sz w:val="24"/>
        </w:rPr>
        <w:t xml:space="preserve"> 3</w:t>
      </w:r>
      <w:r>
        <w:rPr>
          <w:rFonts w:hint="eastAsia"/>
          <w:sz w:val="24"/>
        </w:rPr>
        <w:t>．在实现目标利润的前提下，确定物流作业所要达到的营业量</w:t>
      </w:r>
    </w:p>
    <w:p>
      <w:pPr>
        <w:adjustRightInd w:val="0"/>
        <w:snapToGrid w:val="0"/>
        <w:spacing w:line="360" w:lineRule="auto"/>
        <w:rPr>
          <w:sz w:val="24"/>
        </w:rPr>
      </w:pPr>
      <w:r>
        <w:rPr>
          <w:sz w:val="24"/>
        </w:rPr>
        <w:t xml:space="preserve">   </w:t>
      </w:r>
      <w:r>
        <w:rPr>
          <w:rFonts w:hint="eastAsia"/>
          <w:sz w:val="24"/>
        </w:rPr>
        <w:t>实现目标利润（记作</w:t>
      </w:r>
      <w:r>
        <w:rPr>
          <w:sz w:val="24"/>
        </w:rPr>
        <w:t>TP</w:t>
      </w:r>
      <w:r>
        <w:rPr>
          <w:rFonts w:hint="eastAsia"/>
          <w:sz w:val="24"/>
        </w:rPr>
        <w:t>）的营业量是指单价和成本水平保持不变的情况下，为保证预先已经确定的目标利润能够实现，而必须达到的营业量（记作</w:t>
      </w:r>
      <w:r>
        <w:rPr>
          <w:sz w:val="24"/>
        </w:rPr>
        <w:t>X2</w:t>
      </w:r>
      <w:r>
        <w:rPr>
          <w:rFonts w:hint="eastAsia"/>
          <w:sz w:val="24"/>
        </w:rPr>
        <w:t>）或营业额（记作</w:t>
      </w:r>
      <w:r>
        <w:rPr>
          <w:sz w:val="24"/>
        </w:rPr>
        <w:t>Y2</w:t>
      </w:r>
      <w:r>
        <w:rPr>
          <w:rFonts w:hint="eastAsia"/>
          <w:sz w:val="24"/>
        </w:rPr>
        <w:t>）的统称。</w:t>
      </w:r>
    </w:p>
    <w:p>
      <w:pPr>
        <w:adjustRightInd w:val="0"/>
        <w:snapToGrid w:val="0"/>
        <w:spacing w:line="360" w:lineRule="auto"/>
        <w:rPr>
          <w:sz w:val="24"/>
        </w:rPr>
      </w:pPr>
      <w:r>
        <w:rPr>
          <w:sz w:val="24"/>
        </w:rPr>
        <w:t xml:space="preserve"> 4</w:t>
      </w:r>
      <w:r>
        <w:rPr>
          <w:rFonts w:hint="eastAsia"/>
          <w:sz w:val="24"/>
        </w:rPr>
        <w:t>．实现目标利润的前提下，确定物流作业单价</w:t>
      </w:r>
    </w:p>
    <w:p>
      <w:pPr>
        <w:adjustRightInd w:val="0"/>
        <w:snapToGrid w:val="0"/>
        <w:spacing w:line="360" w:lineRule="auto"/>
        <w:rPr>
          <w:sz w:val="24"/>
        </w:rPr>
      </w:pPr>
      <w:r>
        <w:rPr>
          <w:sz w:val="24"/>
        </w:rPr>
        <w:t>5</w:t>
      </w:r>
      <w:r>
        <w:rPr>
          <w:rFonts w:hint="eastAsia"/>
          <w:sz w:val="24"/>
        </w:rPr>
        <w:t>．实现目标利润的前提下，确定物流成本水平</w:t>
      </w:r>
    </w:p>
    <w:p>
      <w:pPr>
        <w:adjustRightInd w:val="0"/>
        <w:snapToGrid w:val="0"/>
        <w:spacing w:line="360" w:lineRule="auto"/>
        <w:ind w:firstLine="480"/>
        <w:rPr>
          <w:sz w:val="24"/>
        </w:rPr>
      </w:pPr>
    </w:p>
    <w:p>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bertus">
    <w:altName w:val="Trebuchet MS"/>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1643B9"/>
    <w:rsid w:val="001C7271"/>
    <w:rsid w:val="0021058B"/>
    <w:rsid w:val="00216A1A"/>
    <w:rsid w:val="002C7106"/>
    <w:rsid w:val="002E4EC9"/>
    <w:rsid w:val="002F3FCE"/>
    <w:rsid w:val="003B26DB"/>
    <w:rsid w:val="0040007E"/>
    <w:rsid w:val="00456491"/>
    <w:rsid w:val="004607C9"/>
    <w:rsid w:val="004A2C49"/>
    <w:rsid w:val="004E5BED"/>
    <w:rsid w:val="005F4F4B"/>
    <w:rsid w:val="00616EA1"/>
    <w:rsid w:val="00667876"/>
    <w:rsid w:val="006824AA"/>
    <w:rsid w:val="006A6DFA"/>
    <w:rsid w:val="006C630D"/>
    <w:rsid w:val="006D3A21"/>
    <w:rsid w:val="006D4840"/>
    <w:rsid w:val="006E54CA"/>
    <w:rsid w:val="00810629"/>
    <w:rsid w:val="00831414"/>
    <w:rsid w:val="0091274A"/>
    <w:rsid w:val="00916CFB"/>
    <w:rsid w:val="00934BE0"/>
    <w:rsid w:val="009B6CFB"/>
    <w:rsid w:val="009E3B09"/>
    <w:rsid w:val="00A269BB"/>
    <w:rsid w:val="00AC222B"/>
    <w:rsid w:val="00BB5C22"/>
    <w:rsid w:val="00BD7FC4"/>
    <w:rsid w:val="00BE5126"/>
    <w:rsid w:val="00BF22EE"/>
    <w:rsid w:val="00C2541C"/>
    <w:rsid w:val="00C7006A"/>
    <w:rsid w:val="00C82C91"/>
    <w:rsid w:val="00CC0ECE"/>
    <w:rsid w:val="00D90EE5"/>
    <w:rsid w:val="00E54BAB"/>
    <w:rsid w:val="00E56A28"/>
    <w:rsid w:val="00F03BCF"/>
    <w:rsid w:val="00F3161B"/>
    <w:rsid w:val="00FD6D56"/>
    <w:rsid w:val="0E2E4BF9"/>
    <w:rsid w:val="16CA4603"/>
    <w:rsid w:val="4DB02334"/>
    <w:rsid w:val="54866462"/>
    <w:rsid w:val="55C3501C"/>
    <w:rsid w:val="5D774A84"/>
    <w:rsid w:val="5D8A50C6"/>
    <w:rsid w:val="6B0136F0"/>
    <w:rsid w:val="73DD3258"/>
    <w:rsid w:val="7518030A"/>
    <w:rsid w:val="7A987C60"/>
    <w:rsid w:val="7F8B6B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9"/>
    <w:basedOn w:val="1"/>
    <w:next w:val="1"/>
    <w:link w:val="7"/>
    <w:autoRedefine/>
    <w:qFormat/>
    <w:uiPriority w:val="99"/>
    <w:pPr>
      <w:keepNext/>
      <w:jc w:val="center"/>
      <w:outlineLvl w:val="8"/>
    </w:pPr>
    <w:rPr>
      <w:rFonts w:ascii="Albertus" w:hAnsi="Albertus"/>
      <w:b/>
      <w:bCs/>
      <w:sz w:val="30"/>
      <w:szCs w:val="30"/>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locked/>
    <w:uiPriority w:val="0"/>
    <w:rPr>
      <w:sz w:val="24"/>
    </w:rPr>
  </w:style>
  <w:style w:type="character" w:styleId="6">
    <w:name w:val="Strong"/>
    <w:autoRedefine/>
    <w:qFormat/>
    <w:uiPriority w:val="0"/>
    <w:rPr>
      <w:b/>
    </w:rPr>
  </w:style>
  <w:style w:type="character" w:customStyle="1" w:styleId="7">
    <w:name w:val="标题 9 字符"/>
    <w:link w:val="2"/>
    <w:autoRedefine/>
    <w:semiHidden/>
    <w:qFormat/>
    <w:locked/>
    <w:uiPriority w:val="99"/>
    <w:rPr>
      <w:rFonts w:ascii="Cambria" w:hAnsi="Cambria"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525</Words>
  <Characters>2995</Characters>
  <Lines>24</Lines>
  <Paragraphs>7</Paragraphs>
  <TotalTime>0</TotalTime>
  <ScaleCrop>false</ScaleCrop>
  <LinksUpToDate>false</LinksUpToDate>
  <CharactersWithSpaces>3513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WPS_1603247356</cp:lastModifiedBy>
  <dcterms:modified xsi:type="dcterms:W3CDTF">2024-05-13T07:28:11Z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986123339B69486CB1153636603CDB73_12</vt:lpwstr>
  </property>
</Properties>
</file>