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pict>
          <v:shape id="_x0000_i1025" o:spt="75" alt="日职标志标准字横排" type="#_x0000_t75" style="height:90.15pt;width:304.4pt;" filled="f" o:preferrelative="t" stroked="f" coordsize="21600,21600">
            <v:path/>
            <v:fill on="f" focussize="0,0"/>
            <v:stroke on="f"/>
            <v:imagedata r:id="rId4" o:title=""/>
            <o:lock v:ext="edit" aspectratio="t"/>
            <w10:wrap type="none"/>
            <w10:anchorlock/>
          </v:shape>
        </w:pict>
      </w:r>
    </w:p>
    <w:p/>
    <w:p>
      <w:r>
        <w:pict>
          <v:rect id="Rectangle 2" o:spid="_x0000_s1026" o:spt="1" style="position:absolute;left:0pt;margin-left:-63.85pt;margin-top:2.7pt;height:168.6pt;width:543.45pt;mso-wrap-style:none;z-index:251659264;v-text-anchor:middle;mso-width-relative:page;mso-height-relative:page;" fillcolor="#0070C0" filled="t" stroked="f" coordsize="21600,21600" o:gfxdata="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4pKoDZAAAACgEAAA8AAAAAAAAAAQAgAAAAIgAAAGRycy9kb3ducmV2LnhtbFBLAQIU&#10;ABQAAAAIAIdO4kDqgebjuQEAAHkDAAAOAAAAAAAAAAEAIAAAACgBAABkcnMvZTJvRG9jLnhtbFBL&#10;BQYAAAAABgAGAFkBAABTBQAAAAA=&#10;">
            <v:path/>
            <v:fill on="t" color2="#FFFFFF" focussize="0,0"/>
            <v:stroke on="f"/>
            <v:imagedata o:title=""/>
            <o:lock v:ext="edit" aspectratio="f"/>
          </v:rect>
        </w:pict>
      </w:r>
    </w:p>
    <w:p/>
    <w:p>
      <w:r>
        <w:pict>
          <v:shape id="TextBox 14" o:spid="_x0000_s1027" o:spt="202" type="#_x0000_t202" style="position:absolute;left:0pt;margin-left:-52.45pt;margin-top:3.45pt;height:203.8pt;width:506.1pt;z-index:251660288;mso-width-relative:page;mso-height-relative:page;" filled="f" stroked="f" coordsize="21600,21600" o:gfxdata="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DBRXUbYAAAACwEAAA8AAAAAAAAAAQAgAAAA&#10;IgAAAGRycy9kb3ducmV2LnhtbFBLAQIUABQAAAAIAIdO4kBRzTdZ0gEAAKkDAAAOAAAAAAAAAAEA&#10;IAAAACcBAABkcnMvZTJvRG9jLnhtbFBLBQYAAAAABgAGAFkBAABrBQAAAAA=&#10;">
            <v:path/>
            <v:fill on="f" focussize="0,0"/>
            <v:stroke on="f"/>
            <v:imagedata o:title=""/>
            <o:lock v:ext="edit" aspectratio="f"/>
            <v:textbox>
              <w:txbxContent>
                <w:p>
                  <w:pPr>
                    <w:pStyle w:val="3"/>
                    <w:kinsoku/>
                    <w:spacing w:line="288" w:lineRule="auto"/>
                    <w:jc w:val="center"/>
                    <w:rPr>
                      <w:rFonts w:hint="eastAsia" w:eastAsia="微软雅黑"/>
                      <w:lang w:val="en-US" w:eastAsia="zh-CN"/>
                    </w:rPr>
                  </w:pP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《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Hans"/>
                    </w:rPr>
                    <w:t>物流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成本管理</w:t>
                  </w:r>
                  <w:r>
                    <w:rPr>
                      <w:rFonts w:hint="default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eastAsia="zh-Hans"/>
                    </w:rPr>
                    <w:t>》</w:t>
                  </w:r>
                  <w:r>
                    <w:rPr>
                      <w:rFonts w:hint="eastAsia" w:ascii="微软雅黑" w:eastAsia="微软雅黑"/>
                      <w:b/>
                      <w:color w:val="FFFFFF" w:themeColor="background1"/>
                      <w:kern w:val="24"/>
                      <w:sz w:val="84"/>
                      <w:szCs w:val="84"/>
                      <w:lang w:val="en-US" w:eastAsia="zh-CN"/>
                    </w:rPr>
                    <w:t>单元设计</w:t>
                  </w:r>
                </w:p>
              </w:txbxContent>
            </v:textbox>
          </v:shape>
        </w:pict>
      </w:r>
    </w:p>
    <w:p/>
    <w:p/>
    <w:p/>
    <w:p/>
    <w:p/>
    <w:p/>
    <w:p/>
    <w:p/>
    <w:p/>
    <w:p/>
    <w:p/>
    <w:p/>
    <w:p/>
    <w:p/>
    <w:p/>
    <w:p/>
    <w:p/>
    <w:p/>
    <w:p/>
    <w:p/>
    <w:p/>
    <w:p>
      <w:pPr>
        <w:jc w:val="center"/>
        <w:rPr>
          <w:rFonts w:hint="eastAsia"/>
          <w:sz w:val="52"/>
          <w:szCs w:val="52"/>
          <w:lang w:val="en-US" w:eastAsia="zh-Hans"/>
        </w:rPr>
      </w:pPr>
      <w:bookmarkStart w:id="0" w:name="_GoBack"/>
      <w:r>
        <w:rPr>
          <w:rFonts w:hint="default"/>
          <w:sz w:val="52"/>
          <w:szCs w:val="52"/>
          <w:lang w:val="en-US"/>
        </w:rPr>
        <w:pict>
          <v:shape id="_x0000_s1028" o:spid="_x0000_s1028" o:spt="75" alt="地滋楼速写1" type="#_x0000_t75" style="position:absolute;left:0pt;margin-left:-34.4pt;margin-top:106.5pt;height:214.9pt;width:595.15pt;z-index:-251655168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bookmarkEnd w:id="0"/>
      <w:r>
        <w:rPr>
          <w:rFonts w:hint="eastAsia"/>
          <w:sz w:val="52"/>
          <w:szCs w:val="52"/>
          <w:lang w:val="en-US" w:eastAsia="zh-Hans"/>
        </w:rPr>
        <w:t>商学系</w:t>
      </w: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hint="eastAsia"/>
          <w:sz w:val="52"/>
          <w:szCs w:val="52"/>
          <w:lang w:val="en-US" w:eastAsia="zh-Hans"/>
        </w:rPr>
      </w:pPr>
    </w:p>
    <w:p>
      <w:pPr>
        <w:jc w:val="center"/>
        <w:rPr>
          <w:rFonts w:ascii="仿宋" w:hAnsi="仿宋" w:eastAsia="仿宋" w:cs="仿宋"/>
          <w:b/>
          <w:bCs/>
          <w:w w:val="90"/>
          <w:sz w:val="36"/>
        </w:rPr>
      </w:pPr>
      <w:r>
        <w:rPr>
          <w:rFonts w:ascii="仿宋" w:hAnsi="仿宋" w:eastAsia="仿宋" w:cs="仿宋"/>
          <w:b/>
          <w:w w:val="90"/>
          <w:sz w:val="36"/>
          <w:szCs w:val="36"/>
        </w:rPr>
        <w:br w:type="page"/>
      </w:r>
      <w:r>
        <w:rPr>
          <w:rFonts w:hint="eastAsia" w:ascii="仿宋" w:hAnsi="仿宋" w:eastAsia="仿宋" w:cs="仿宋"/>
          <w:b/>
          <w:w w:val="90"/>
          <w:sz w:val="36"/>
          <w:szCs w:val="36"/>
        </w:rPr>
        <w:t>《</w:t>
      </w:r>
      <w:r>
        <w:rPr>
          <w:rFonts w:hint="eastAsia" w:ascii="仿宋" w:hAnsi="仿宋" w:eastAsia="仿宋" w:cs="仿宋"/>
          <w:b/>
          <w:bCs/>
          <w:w w:val="90"/>
          <w:sz w:val="36"/>
        </w:rPr>
        <w:t>物流成本管理》课程单元教学设计</w:t>
      </w:r>
    </w:p>
    <w:p>
      <w:pPr>
        <w:jc w:val="center"/>
        <w:rPr>
          <w:rFonts w:ascii="仿宋" w:hAnsi="仿宋" w:eastAsia="仿宋" w:cs="仿宋"/>
          <w:w w:val="90"/>
          <w:sz w:val="32"/>
        </w:rPr>
      </w:pPr>
    </w:p>
    <w:tbl>
      <w:tblPr>
        <w:tblStyle w:val="4"/>
        <w:tblW w:w="880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540"/>
        <w:gridCol w:w="1913"/>
        <w:gridCol w:w="2525"/>
        <w:gridCol w:w="420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7" w:hRule="atLeast"/>
        </w:trPr>
        <w:tc>
          <w:tcPr>
            <w:tcW w:w="4253" w:type="dxa"/>
            <w:gridSpan w:val="4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单元标题：介绍包装成本的构成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单元教学学时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ascii="仿宋" w:hAnsi="仿宋" w:eastAsia="仿宋" w:cs="仿宋"/>
                <w:b/>
                <w:sz w:val="28"/>
                <w:szCs w:val="28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4253" w:type="dxa"/>
            <w:gridSpan w:val="4"/>
            <w:vMerge w:val="continue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2945" w:type="dxa"/>
            <w:gridSpan w:val="2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在整体设计中的位置</w:t>
            </w:r>
          </w:p>
        </w:tc>
        <w:tc>
          <w:tcPr>
            <w:tcW w:w="1605" w:type="dxa"/>
            <w:vAlign w:val="center"/>
          </w:tcPr>
          <w:p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第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23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8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授课班级</w:t>
            </w:r>
          </w:p>
        </w:tc>
        <w:tc>
          <w:tcPr>
            <w:tcW w:w="900" w:type="dxa"/>
            <w:vAlign w:val="center"/>
          </w:tcPr>
          <w:p>
            <w:pPr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物流管理专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业</w:t>
            </w:r>
          </w:p>
        </w:tc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时间</w:t>
            </w:r>
          </w:p>
        </w:tc>
        <w:tc>
          <w:tcPr>
            <w:tcW w:w="1913" w:type="dxa"/>
            <w:vAlign w:val="center"/>
          </w:tcPr>
          <w:p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节至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周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月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日第</w:t>
            </w:r>
            <w:r>
              <w:rPr>
                <w:rFonts w:ascii="仿宋" w:hAnsi="仿宋" w:eastAsia="仿宋" w:cs="仿宋"/>
                <w:b/>
                <w:sz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节</w:t>
            </w:r>
          </w:p>
        </w:tc>
        <w:tc>
          <w:tcPr>
            <w:tcW w:w="294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上课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地点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多媒体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目标</w:t>
            </w:r>
          </w:p>
        </w:tc>
        <w:tc>
          <w:tcPr>
            <w:tcW w:w="335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能力目标</w:t>
            </w:r>
          </w:p>
        </w:tc>
        <w:tc>
          <w:tcPr>
            <w:tcW w:w="252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素质目标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4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3353" w:type="dxa"/>
            <w:gridSpan w:val="3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能掌握包装成本的构成</w:t>
            </w:r>
          </w:p>
        </w:tc>
        <w:tc>
          <w:tcPr>
            <w:tcW w:w="2525" w:type="dxa"/>
            <w:vAlign w:val="center"/>
          </w:tcPr>
          <w:p>
            <w:pPr>
              <w:spacing w:line="240" w:lineRule="atLeas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1.</w:t>
            </w:r>
            <w:r>
              <w:rPr>
                <w:rFonts w:hint="eastAsia" w:ascii="仿宋" w:hAnsi="仿宋" w:eastAsia="仿宋"/>
                <w:b/>
                <w:sz w:val="24"/>
              </w:rPr>
              <w:t>理解包装的基本概念及其技术；</w:t>
            </w:r>
          </w:p>
          <w:p>
            <w:pPr>
              <w:spacing w:line="440" w:lineRule="exact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2.</w:t>
            </w:r>
            <w:r>
              <w:rPr>
                <w:rFonts w:hint="eastAsia" w:ascii="仿宋" w:hAnsi="仿宋" w:eastAsia="仿宋"/>
                <w:b/>
                <w:sz w:val="24"/>
              </w:rPr>
              <w:t>理解包装成本的构成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培养学生的职业素养和团队合作精神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6" w:hRule="atLeast"/>
        </w:trPr>
        <w:tc>
          <w:tcPr>
            <w:tcW w:w="90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能力训练任务</w:t>
            </w:r>
          </w:p>
        </w:tc>
        <w:tc>
          <w:tcPr>
            <w:tcW w:w="7903" w:type="dxa"/>
            <w:gridSpan w:val="6"/>
            <w:vAlign w:val="center"/>
          </w:tcPr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情境设置：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甲公司对产品进行包装，使用材料和使用数量进行备案</w:t>
            </w:r>
          </w:p>
          <w:p>
            <w:pPr>
              <w:rPr>
                <w:rFonts w:ascii="仿宋" w:hAnsi="仿宋" w:eastAsia="仿宋"/>
                <w:b/>
                <w:sz w:val="24"/>
              </w:rPr>
            </w:pPr>
          </w:p>
          <w:p>
            <w:pPr>
              <w:spacing w:line="440" w:lineRule="exac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课堂任务：</w:t>
            </w: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分组分析降低包装成本的方法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tbl>
      <w:tblPr>
        <w:tblStyle w:val="4"/>
        <w:tblW w:w="9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7"/>
        <w:gridCol w:w="8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3" w:hRule="atLeast"/>
        </w:trPr>
        <w:tc>
          <w:tcPr>
            <w:tcW w:w="60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案例和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材料</w:t>
            </w:r>
          </w:p>
        </w:tc>
        <w:tc>
          <w:tcPr>
            <w:tcW w:w="8793" w:type="dxa"/>
          </w:tcPr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案例</w:t>
            </w:r>
            <w:r>
              <w:rPr>
                <w:rFonts w:ascii="仿宋" w:hAnsi="仿宋" w:eastAsia="仿宋"/>
                <w:b/>
                <w:sz w:val="28"/>
                <w:szCs w:val="28"/>
              </w:rPr>
              <w:t xml:space="preserve">: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甲公司是一个小麦加工为主的中外合资面粉生产企业。截止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年底，该公司资产总额</w:t>
            </w:r>
            <w:r>
              <w:rPr>
                <w:rFonts w:ascii="宋体" w:hAnsi="宋体"/>
                <w:sz w:val="24"/>
              </w:rPr>
              <w:t>6186</w:t>
            </w:r>
            <w:r>
              <w:rPr>
                <w:rFonts w:hint="eastAsia" w:ascii="宋体" w:hAnsi="宋体"/>
                <w:sz w:val="24"/>
              </w:rPr>
              <w:t>万元，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年实现销售收入</w:t>
            </w:r>
            <w:r>
              <w:rPr>
                <w:rFonts w:ascii="宋体" w:hAnsi="宋体"/>
                <w:sz w:val="24"/>
              </w:rPr>
              <w:t>1.23</w:t>
            </w:r>
            <w:r>
              <w:rPr>
                <w:rFonts w:hint="eastAsia" w:ascii="宋体" w:hAnsi="宋体"/>
                <w:sz w:val="24"/>
              </w:rPr>
              <w:t>亿元，实现利润总额</w:t>
            </w:r>
            <w:r>
              <w:rPr>
                <w:rFonts w:ascii="宋体" w:hAnsi="宋体"/>
                <w:sz w:val="24"/>
              </w:rPr>
              <w:t>6562</w:t>
            </w:r>
            <w:r>
              <w:rPr>
                <w:rFonts w:hint="eastAsia" w:ascii="宋体" w:hAnsi="宋体"/>
                <w:sz w:val="24"/>
              </w:rPr>
              <w:t>万元，内部设有会计部（兼做信息工作）、人事部、采购部、生产部、质量部、仓储部和销售部</w:t>
            </w:r>
            <w:r>
              <w:rPr>
                <w:rFonts w:ascii="宋体" w:hAnsi="宋体"/>
                <w:sz w:val="24"/>
              </w:rPr>
              <w:t>7</w:t>
            </w:r>
            <w:r>
              <w:rPr>
                <w:rFonts w:hint="eastAsia" w:ascii="宋体" w:hAnsi="宋体"/>
                <w:sz w:val="24"/>
              </w:rPr>
              <w:t>个部门，共有员工</w:t>
            </w:r>
            <w:r>
              <w:rPr>
                <w:rFonts w:ascii="宋体" w:hAnsi="宋体"/>
                <w:sz w:val="24"/>
              </w:rPr>
              <w:t>145</w:t>
            </w:r>
            <w:r>
              <w:rPr>
                <w:rFonts w:hint="eastAsia" w:ascii="宋体" w:hAnsi="宋体"/>
                <w:sz w:val="24"/>
              </w:rPr>
              <w:t>人，其中采购人员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人，生产人员</w:t>
            </w:r>
            <w:r>
              <w:rPr>
                <w:rFonts w:ascii="宋体" w:hAnsi="宋体"/>
                <w:sz w:val="24"/>
              </w:rPr>
              <w:t>60</w:t>
            </w:r>
            <w:r>
              <w:rPr>
                <w:rFonts w:hint="eastAsia" w:ascii="宋体" w:hAnsi="宋体"/>
                <w:sz w:val="24"/>
              </w:rPr>
              <w:t>人，营销人员</w:t>
            </w:r>
            <w:r>
              <w:rPr>
                <w:rFonts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</w:rPr>
              <w:t>人，其余为管理人员。该公司有一个总面积为</w:t>
            </w:r>
            <w:r>
              <w:rPr>
                <w:rFonts w:ascii="宋体" w:hAnsi="宋体"/>
                <w:sz w:val="24"/>
              </w:rPr>
              <w:t>10000</w:t>
            </w:r>
            <w:r>
              <w:rPr>
                <w:rFonts w:hint="eastAsia" w:ascii="宋体" w:hAnsi="宋体"/>
                <w:sz w:val="24"/>
              </w:rPr>
              <w:t>平方米的仓库，用于储存小麦、面粉等存货，而运输业务和装运搬卸业务均由外部人员承包，公司支付运费和装卸搬运费。本案例以甲公司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月有关成本费用资料为依据，计算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月的物流成本。甲公司的成本费用科目有生产成本、制造费用、销售费用、管理费用、财务费用、营业外支出和其他业务成本，其中营业外支出</w:t>
            </w:r>
            <w:r>
              <w:rPr>
                <w:rFonts w:ascii="宋体" w:hAnsi="宋体"/>
                <w:sz w:val="24"/>
              </w:rPr>
              <w:t>2016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>12</w:t>
            </w:r>
            <w:r>
              <w:rPr>
                <w:rFonts w:hint="eastAsia" w:ascii="宋体" w:hAnsi="宋体"/>
                <w:sz w:val="24"/>
              </w:rPr>
              <w:t>月份无发生额。</w:t>
            </w: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宋体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教学材料：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教材：古全美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张述敬主编《物流成本管理》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参考资料：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商业周刊</w:t>
            </w:r>
            <w:r>
              <w:rPr>
                <w:rFonts w:ascii="宋体" w:hAnsi="宋体"/>
                <w:sz w:val="24"/>
              </w:rPr>
              <w:t xml:space="preserve"> http://www.businessweek.com 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经济学家</w:t>
            </w:r>
            <w:r>
              <w:rPr>
                <w:rFonts w:ascii="宋体" w:hAnsi="宋体"/>
                <w:sz w:val="24"/>
              </w:rPr>
              <w:t xml:space="preserve"> http://www.economist.com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金融时报</w:t>
            </w:r>
            <w:r>
              <w:rPr>
                <w:rFonts w:ascii="宋体" w:hAnsi="宋体"/>
                <w:sz w:val="24"/>
              </w:rPr>
              <w:t xml:space="preserve"> http://www.ft.com 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财富</w:t>
            </w:r>
            <w:r>
              <w:rPr>
                <w:rFonts w:ascii="宋体" w:hAnsi="宋体"/>
                <w:sz w:val="24"/>
              </w:rPr>
              <w:t xml:space="preserve"> http://www.fortune.com/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哈佛商业评论</w:t>
            </w:r>
            <w:r>
              <w:rPr>
                <w:rFonts w:ascii="宋体" w:hAnsi="宋体"/>
                <w:sz w:val="24"/>
              </w:rPr>
              <w:t xml:space="preserve"> http://www.hbr.com</w:t>
            </w:r>
          </w:p>
          <w:p>
            <w:pPr>
              <w:spacing w:line="540" w:lineRule="exact"/>
              <w:ind w:firstLine="480" w:firstLineChars="200"/>
              <w:jc w:val="lef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企业家</w:t>
            </w:r>
            <w:r>
              <w:rPr>
                <w:rFonts w:ascii="宋体" w:hAnsi="宋体"/>
                <w:sz w:val="24"/>
              </w:rPr>
              <w:t xml:space="preserve"> http://www.entrepreneur.com </w:t>
            </w:r>
          </w:p>
          <w:p>
            <w:pPr>
              <w:spacing w:line="440" w:lineRule="exact"/>
              <w:jc w:val="left"/>
              <w:rPr>
                <w:rFonts w:ascii="宋体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</w:p>
    <w:p>
      <w:pPr>
        <w:spacing w:line="320" w:lineRule="exact"/>
        <w:rPr>
          <w:rFonts w:ascii="仿宋" w:hAnsi="仿宋" w:eastAsia="仿宋" w:cs="仿宋"/>
          <w:b/>
          <w:bCs/>
          <w:sz w:val="30"/>
        </w:rPr>
      </w:pPr>
      <w:r>
        <w:rPr>
          <w:rFonts w:hint="eastAsia" w:ascii="仿宋" w:hAnsi="仿宋" w:eastAsia="仿宋" w:cs="仿宋"/>
          <w:b/>
          <w:bCs/>
          <w:sz w:val="30"/>
        </w:rPr>
        <w:t>单元教学进度</w:t>
      </w:r>
    </w:p>
    <w:tbl>
      <w:tblPr>
        <w:tblStyle w:val="4"/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980"/>
        <w:gridCol w:w="3420"/>
        <w:gridCol w:w="306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步骤</w:t>
            </w:r>
          </w:p>
        </w:tc>
        <w:tc>
          <w:tcPr>
            <w:tcW w:w="19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教学内容及能力</w:t>
            </w:r>
            <w:r>
              <w:rPr>
                <w:rFonts w:ascii="仿宋" w:hAnsi="仿宋" w:eastAsia="仿宋" w:cs="仿宋"/>
                <w:b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知识目标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教师活动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学生活动</w:t>
            </w:r>
          </w:p>
        </w:tc>
        <w:tc>
          <w:tcPr>
            <w:tcW w:w="108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复习上节课内容，简单了解有关包装成本构成的知识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介绍课程目标和主要内容框架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课前了解课程内容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案例引入，使同学们对本节课的学习内容有所了解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阅读案例，分析案例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介绍本堂课的学习目标和重点难点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根据学习目标展开学习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介绍学习任务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准备接受任务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熟悉学习的知识点；掌握重点</w:t>
            </w:r>
          </w:p>
          <w:p>
            <w:pPr>
              <w:spacing w:line="320" w:lineRule="exact"/>
              <w:jc w:val="center"/>
              <w:rPr>
                <w:rFonts w:ascii="宋体" w:cs="仿宋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难点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1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1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讲解重点难点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掌握重点难点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宋体" w:cs="仿宋"/>
                <w:b/>
                <w:bCs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color w:val="000000"/>
                <w:kern w:val="0"/>
                <w:sz w:val="24"/>
              </w:rPr>
              <w:t>在练习中应用所学内容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教师给出任务</w:t>
            </w:r>
            <w:r>
              <w:rPr>
                <w:rFonts w:ascii="宋体" w:hAnsi="宋体" w:cs="仿宋"/>
                <w:sz w:val="24"/>
              </w:rPr>
              <w:t>2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学生细读任务</w:t>
            </w:r>
            <w:r>
              <w:rPr>
                <w:rFonts w:ascii="宋体" w:hAnsi="宋体" w:cs="仿宋"/>
                <w:sz w:val="24"/>
              </w:rPr>
              <w:t>2</w:t>
            </w:r>
            <w:r>
              <w:rPr>
                <w:rFonts w:hint="eastAsia" w:ascii="宋体" w:hAnsi="宋体" w:cs="仿宋"/>
                <w:sz w:val="24"/>
              </w:rPr>
              <w:t>，领会任务要求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引导学生完成任务，并在任务完成过程中予以指导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按照要求完成学习任务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考核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对本次任务的完成情况进行考核评价</w:t>
            </w: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师生共同评价任务的完成情况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学生通过讨论发现需要掌握的知识点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针对学生完成任务过程中的问题，教师指导、示范、答疑、纠错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学生在教师的指导下，发现并解决问题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小结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总结本单元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知识点</w:t>
            </w:r>
          </w:p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教师带领学生重新梳理知识点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教师引导下巩固知识点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cs="仿宋"/>
                <w:sz w:val="24"/>
              </w:rPr>
            </w:pPr>
            <w:r>
              <w:rPr>
                <w:rFonts w:ascii="宋体" w:hAnsi="宋体" w:cs="仿宋"/>
                <w:sz w:val="24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</w:trPr>
        <w:tc>
          <w:tcPr>
            <w:tcW w:w="54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spacing w:line="320" w:lineRule="exact"/>
              <w:ind w:firstLine="480" w:firstLineChars="200"/>
              <w:rPr>
                <w:rFonts w:ascii="宋体" w:cs="仿宋"/>
                <w:sz w:val="24"/>
              </w:rPr>
            </w:pPr>
          </w:p>
        </w:tc>
        <w:tc>
          <w:tcPr>
            <w:tcW w:w="342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指出本单元学生存在的问题，并提出解决方法</w:t>
            </w:r>
          </w:p>
        </w:tc>
        <w:tc>
          <w:tcPr>
            <w:tcW w:w="306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发现并解决问题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</w:trPr>
        <w:tc>
          <w:tcPr>
            <w:tcW w:w="540" w:type="dxa"/>
            <w:vAlign w:val="center"/>
          </w:tcPr>
          <w:p>
            <w:pPr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作业</w:t>
            </w:r>
          </w:p>
        </w:tc>
        <w:tc>
          <w:tcPr>
            <w:tcW w:w="9540" w:type="dxa"/>
            <w:gridSpan w:val="4"/>
            <w:vAlign w:val="center"/>
          </w:tcPr>
          <w:p>
            <w:pPr>
              <w:widowControl/>
              <w:spacing w:line="320" w:lineRule="exact"/>
              <w:rPr>
                <w:rFonts w:ascii="宋体" w:cs="仿宋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扩展训练：（考核项目）</w:t>
            </w:r>
            <w:r>
              <w:rPr>
                <w:rFonts w:ascii="宋体" w:hAnsi="宋体" w:cs="仿宋"/>
                <w:sz w:val="24"/>
              </w:rPr>
              <w:t xml:space="preserve">       </w:t>
            </w:r>
            <w:r>
              <w:rPr>
                <w:rFonts w:hint="eastAsia" w:ascii="宋体" w:hAnsi="宋体" w:cs="仿宋"/>
                <w:sz w:val="24"/>
              </w:rPr>
              <w:t>教师给出类似任务，学生独立完成任务</w:t>
            </w:r>
            <w:r>
              <w:rPr>
                <w:rFonts w:ascii="宋体" w:hAnsi="宋体" w:cs="仿宋"/>
                <w:sz w:val="24"/>
              </w:rPr>
              <w:t xml:space="preserve">  </w:t>
            </w:r>
          </w:p>
        </w:tc>
      </w:tr>
    </w:tbl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</w:p>
    <w:p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知识链接：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一、包装的概述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1.</w:t>
      </w:r>
      <w:r>
        <w:rPr>
          <w:rFonts w:hint="eastAsia"/>
          <w:sz w:val="24"/>
        </w:rPr>
        <w:t>包装的定义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包装就是指在搬运或保管产品时，为了储运、促销等作用，使用适当的材料或容器来保护产品，使其不致受到外界的影响。</w:t>
      </w:r>
      <w:r>
        <w:rPr>
          <w:sz w:val="24"/>
        </w:rPr>
        <w:br w:type="textWrapping"/>
      </w:r>
      <w:r>
        <w:rPr>
          <w:rFonts w:hint="eastAsia"/>
          <w:sz w:val="24"/>
        </w:rPr>
        <w:t>以下是有关包装的几种解释。</w:t>
      </w:r>
      <w:r>
        <w:rPr>
          <w:sz w:val="24"/>
        </w:rPr>
        <w:br w:type="textWrapping"/>
      </w: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1</w:t>
      </w:r>
      <w:r>
        <w:rPr>
          <w:rFonts w:hint="eastAsia"/>
          <w:sz w:val="24"/>
        </w:rPr>
        <w:t>）美国包装学会对包装的定义：符合产品之需求，依最佳之成本，便于货物之传送、流通、交易、储存与贩卖，而实施的统筹整体系统的准备工作。</w:t>
      </w:r>
      <w:r>
        <w:rPr>
          <w:sz w:val="24"/>
        </w:rPr>
        <w:br w:type="textWrapping"/>
      </w: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2</w:t>
      </w:r>
      <w:r>
        <w:rPr>
          <w:rFonts w:hint="eastAsia"/>
          <w:sz w:val="24"/>
        </w:rPr>
        <w:t>）日本工业规格</w:t>
      </w:r>
      <w:r>
        <w:rPr>
          <w:sz w:val="24"/>
        </w:rPr>
        <w:t>JIS101</w:t>
      </w:r>
      <w:r>
        <w:rPr>
          <w:rFonts w:hint="eastAsia"/>
          <w:sz w:val="24"/>
        </w:rPr>
        <w:t>对包装的定义：包装系便于物品之输送及保管，并维护商品的价值，保持其状态，而以适当的材料或容器，对物品所实施的技术与状态。</w:t>
      </w:r>
      <w:r>
        <w:rPr>
          <w:sz w:val="24"/>
        </w:rPr>
        <w:br w:type="textWrapping"/>
      </w:r>
      <w:r>
        <w:rPr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sz w:val="24"/>
        </w:rPr>
        <w:t>3</w:t>
      </w:r>
      <w:r>
        <w:rPr>
          <w:rFonts w:hint="eastAsia"/>
          <w:sz w:val="24"/>
        </w:rPr>
        <w:t>）</w:t>
      </w:r>
      <w:r>
        <w:rPr>
          <w:sz w:val="24"/>
        </w:rPr>
        <w:t xml:space="preserve"> </w:t>
      </w:r>
      <w:r>
        <w:rPr>
          <w:rFonts w:hint="eastAsia"/>
          <w:sz w:val="24"/>
        </w:rPr>
        <w:t>我国《包装通用术语》的国家标准是：在流通过程中保护产品，方便储运，促进销售，按一定技术方法而采用的容器、材料及辅助物等的总称。也指为了达到上述目的而采用容器、材料和辅助物的过程中施加一定技术方法的操作活动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包装在物流中的作用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包装与物流的关系，比它与生产的关系要密切的多，它作为物流始点的意义比其作为生产终点的意义要大得多。因此，包装应进入物流系统之中，这时现代物流的一个新观念。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3.</w:t>
      </w:r>
      <w:r>
        <w:rPr>
          <w:rFonts w:hint="eastAsia"/>
          <w:sz w:val="24"/>
        </w:rPr>
        <w:t>包装的分类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）按形态分类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单个包装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内部包装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外部包装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）按功能分类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工业包装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商业包装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4.</w:t>
      </w:r>
      <w:r>
        <w:rPr>
          <w:rFonts w:hint="eastAsia"/>
          <w:sz w:val="24"/>
        </w:rPr>
        <w:t>包装的主要功能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）保护货物</w:t>
      </w:r>
    </w:p>
    <w:p>
      <w:pPr>
        <w:adjustRightInd w:val="0"/>
        <w:snapToGrid w:val="0"/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保护功能，也是包装最基本的功能，即使商品不受各种外力的损坏。一件商品，要经多次流通，才能走进商场或其它场所，最终到消费者手中，这期间，需要经过装卸、运输、库存、陈列、销售等环节。在储运过程中，很多外因，如撞击、潮湿、光线、气体、细菌</w:t>
      </w:r>
      <w:r>
        <w:rPr>
          <w:sz w:val="24"/>
        </w:rPr>
        <w:t>……</w:t>
      </w:r>
      <w:r>
        <w:rPr>
          <w:rFonts w:hint="eastAsia"/>
          <w:sz w:val="24"/>
        </w:rPr>
        <w:t>等因素，都会威胁到商品的安全。因此，做为一个包装设计师，在开始设计之前，首先要想到包装的结构与材料，保证商品在流在流通过程中的安全。</w:t>
      </w:r>
      <w:r>
        <w:rPr>
          <w:sz w:val="24"/>
        </w:rPr>
        <w:t> 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）提高物流作业效率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物流作业效率受商品、商品的成组化以及细细传递特征的影响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）信息传递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包装商品的识别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跟踪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装卸说明书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）营销手段</w:t>
      </w:r>
    </w:p>
    <w:p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sz w:val="24"/>
        </w:rPr>
        <w:t>包装可以向顾客介绍商品的相关信息，能通过颜色、尺寸等要素宣传商品吸引顾客的注意力。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lbertus">
    <w:altName w:val="Trebuchet M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hjZjdkNjIyZmY4MGYyMGVjMzk4NWZmMjhlMTMwNTYifQ=="/>
  </w:docVars>
  <w:rsids>
    <w:rsidRoot w:val="00C82C91"/>
    <w:rsid w:val="00047014"/>
    <w:rsid w:val="000613A0"/>
    <w:rsid w:val="00092F69"/>
    <w:rsid w:val="000B7D82"/>
    <w:rsid w:val="001044E1"/>
    <w:rsid w:val="00137333"/>
    <w:rsid w:val="0021058B"/>
    <w:rsid w:val="00216A1A"/>
    <w:rsid w:val="002E4EC9"/>
    <w:rsid w:val="002F3FCE"/>
    <w:rsid w:val="003B26DB"/>
    <w:rsid w:val="0040007E"/>
    <w:rsid w:val="00456491"/>
    <w:rsid w:val="004607C9"/>
    <w:rsid w:val="004E5BED"/>
    <w:rsid w:val="00557F8A"/>
    <w:rsid w:val="005F535C"/>
    <w:rsid w:val="00611212"/>
    <w:rsid w:val="00616EA1"/>
    <w:rsid w:val="00667876"/>
    <w:rsid w:val="006824AA"/>
    <w:rsid w:val="006C630D"/>
    <w:rsid w:val="006D3A21"/>
    <w:rsid w:val="006D4840"/>
    <w:rsid w:val="006E54CA"/>
    <w:rsid w:val="0076068D"/>
    <w:rsid w:val="007D5A07"/>
    <w:rsid w:val="00831414"/>
    <w:rsid w:val="0091274A"/>
    <w:rsid w:val="00916CFB"/>
    <w:rsid w:val="009A476A"/>
    <w:rsid w:val="009E3B09"/>
    <w:rsid w:val="00A269BB"/>
    <w:rsid w:val="00AC222B"/>
    <w:rsid w:val="00B143E8"/>
    <w:rsid w:val="00BB5C22"/>
    <w:rsid w:val="00BD7FC4"/>
    <w:rsid w:val="00BE5126"/>
    <w:rsid w:val="00BF22EE"/>
    <w:rsid w:val="00C2541C"/>
    <w:rsid w:val="00C82C91"/>
    <w:rsid w:val="00E54BAB"/>
    <w:rsid w:val="00E56A28"/>
    <w:rsid w:val="00EE710E"/>
    <w:rsid w:val="00F03BCF"/>
    <w:rsid w:val="00F3161B"/>
    <w:rsid w:val="00FD6D56"/>
    <w:rsid w:val="0E2E4BF9"/>
    <w:rsid w:val="16CA4603"/>
    <w:rsid w:val="2E0D7382"/>
    <w:rsid w:val="4DB02334"/>
    <w:rsid w:val="54866462"/>
    <w:rsid w:val="55C3501C"/>
    <w:rsid w:val="5D774A84"/>
    <w:rsid w:val="5D8A50C6"/>
    <w:rsid w:val="6B0136F0"/>
    <w:rsid w:val="6DB93A37"/>
    <w:rsid w:val="7518030A"/>
    <w:rsid w:val="7F8B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nhideWhenUsed="0" w:uiPriority="99" w:semiHidden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uiPriority="99" w:name="header" w:locked="1"/>
    <w:lsdException w:uiPriority="99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9"/>
    <w:basedOn w:val="1"/>
    <w:next w:val="1"/>
    <w:link w:val="7"/>
    <w:qFormat/>
    <w:uiPriority w:val="99"/>
    <w:pPr>
      <w:keepNext/>
      <w:jc w:val="center"/>
      <w:outlineLvl w:val="8"/>
    </w:pPr>
    <w:rPr>
      <w:rFonts w:ascii="Albertus" w:hAnsi="Albertus"/>
      <w:b/>
      <w:bCs/>
      <w:sz w:val="30"/>
      <w:szCs w:val="30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locked/>
    <w:uiPriority w:val="0"/>
    <w:rPr>
      <w:sz w:val="24"/>
    </w:rPr>
  </w:style>
  <w:style w:type="character" w:styleId="6">
    <w:name w:val="Strong"/>
    <w:autoRedefine/>
    <w:qFormat/>
    <w:locked/>
    <w:uiPriority w:val="22"/>
    <w:rPr>
      <w:b/>
    </w:rPr>
  </w:style>
  <w:style w:type="character" w:customStyle="1" w:styleId="7">
    <w:name w:val="标题 9 字符"/>
    <w:link w:val="2"/>
    <w:semiHidden/>
    <w:locked/>
    <w:uiPriority w:val="99"/>
    <w:rPr>
      <w:rFonts w:ascii="Cambria" w:hAnsi="Cambria" w:eastAsia="宋体" w:cs="Times New Roman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361</Words>
  <Characters>2058</Characters>
  <Lines>17</Lines>
  <Paragraphs>4</Paragraphs>
  <TotalTime>0</TotalTime>
  <ScaleCrop>false</ScaleCrop>
  <LinksUpToDate>false</LinksUpToDate>
  <CharactersWithSpaces>2415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WPS_1603247356</cp:lastModifiedBy>
  <dcterms:modified xsi:type="dcterms:W3CDTF">2024-05-13T07:26:31Z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8CA0254A2A674F2698494475928F9B46_12</vt:lpwstr>
  </property>
</Properties>
</file>