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单元标题：介绍库存持有成本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能掌握库存持有成本的构成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tabs>
                <w:tab w:val="left" w:pos="312"/>
              </w:tabs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熟悉库存持有成本的基本概念；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掌握库存持有成本的构成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甲公司的库存持有成本有哪些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分组掌握库存持有成本的构成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复习上节课内容，简单了解有关库存持有成本的知识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库存持有成本是指和库存数量相关的</w:t>
      </w:r>
      <w:r>
        <w:fldChar w:fldCharType="begin"/>
      </w:r>
      <w:r>
        <w:instrText xml:space="preserve"> HYPERLINK "http://wiki.mbalib.com/wiki/%E6%88%90%E6%9C%AC" \o "成本" </w:instrText>
      </w:r>
      <w:r>
        <w:fldChar w:fldCharType="separate"/>
      </w:r>
      <w:r>
        <w:rPr>
          <w:rFonts w:hint="eastAsia"/>
          <w:sz w:val="24"/>
        </w:rPr>
        <w:t>成本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，它由许多不同的部分组成，通常是</w:t>
      </w:r>
      <w:r>
        <w:fldChar w:fldCharType="begin"/>
      </w:r>
      <w:r>
        <w:instrText xml:space="preserve"> HYPERLINK "http://wiki.mbalib.com/wiki/%E7%89%A9%E6%B5%81%E6%88%90%E6%9C%AC" \o "物流成本" </w:instrText>
      </w:r>
      <w:r>
        <w:fldChar w:fldCharType="separate"/>
      </w:r>
      <w:r>
        <w:rPr>
          <w:rFonts w:hint="eastAsia"/>
          <w:sz w:val="24"/>
        </w:rPr>
        <w:t>物流成本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中较大的一部分。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　　库存持有成本的发生主要由</w:t>
      </w:r>
      <w:r>
        <w:fldChar w:fldCharType="begin"/>
      </w:r>
      <w:r>
        <w:instrText xml:space="preserve"> HYPERLINK "http://wiki.mbalib.com/wiki/%E5%BA%93%E5%AD%98%E6%8E%A7%E5%88%B6" \o "库存控制" </w:instrText>
      </w:r>
      <w:r>
        <w:fldChar w:fldCharType="separate"/>
      </w:r>
      <w:r>
        <w:rPr>
          <w:rFonts w:hint="eastAsia"/>
          <w:sz w:val="24"/>
        </w:rPr>
        <w:t>库存控制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、包装、废弃物处理等</w:t>
      </w:r>
      <w:r>
        <w:fldChar w:fldCharType="begin"/>
      </w:r>
      <w:r>
        <w:instrText xml:space="preserve"> HYPERLINK "http://wiki.mbalib.com/wiki/%E7%89%A9%E6%B5%81" \o "物流" </w:instrText>
      </w:r>
      <w:r>
        <w:fldChar w:fldCharType="separate"/>
      </w:r>
      <w:r>
        <w:rPr>
          <w:rFonts w:hint="eastAsia"/>
          <w:sz w:val="24"/>
        </w:rPr>
        <w:t>物流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活动引起。它是与库存水平有关的那部分成本，其组成包括</w:t>
      </w:r>
      <w:r>
        <w:fldChar w:fldCharType="begin"/>
      </w:r>
      <w:r>
        <w:instrText xml:space="preserve"> HYPERLINK "http://wiki.mbalib.com/wiki/%E5%BA%93%E5%AD%98%E5%95%86%E5%93%81" \o "库存商品" </w:instrText>
      </w:r>
      <w:r>
        <w:fldChar w:fldCharType="separate"/>
      </w:r>
      <w:r>
        <w:rPr>
          <w:rFonts w:hint="eastAsia"/>
          <w:sz w:val="24"/>
        </w:rPr>
        <w:t>库存商品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所占用的</w:t>
      </w:r>
      <w:r>
        <w:fldChar w:fldCharType="begin"/>
      </w:r>
      <w:r>
        <w:instrText xml:space="preserve"> HYPERLINK "http://wiki.mbalib.com/wiki/%E8%B5%84%E9%87%91%E6%88%90%E6%9C%AC" \o "资金成本" </w:instrText>
      </w:r>
      <w:r>
        <w:fldChar w:fldCharType="separate"/>
      </w:r>
      <w:r>
        <w:rPr>
          <w:rFonts w:hint="eastAsia"/>
          <w:sz w:val="24"/>
        </w:rPr>
        <w:t>资金成本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，库存服务成本（相关保险和</w:t>
      </w:r>
      <w:r>
        <w:fldChar w:fldCharType="begin"/>
      </w:r>
      <w:r>
        <w:instrText xml:space="preserve"> HYPERLINK "http://wiki.mbalib.com/wiki/%E7%A8%8E%E6%94%B6" \o "税收" </w:instrText>
      </w:r>
      <w:r>
        <w:fldChar w:fldCharType="separate"/>
      </w:r>
      <w:r>
        <w:rPr>
          <w:rFonts w:hint="eastAsia"/>
          <w:sz w:val="24"/>
        </w:rPr>
        <w:t>税收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），仓储空间成本以及库存风险成本。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</w:pPr>
      <w:r>
        <w:rPr>
          <w:rFonts w:hint="eastAsia"/>
          <w:sz w:val="24"/>
        </w:rPr>
        <w:t>　　在年销量一定的条件下，</w:t>
      </w:r>
      <w:r>
        <w:fldChar w:fldCharType="begin"/>
      </w:r>
      <w:r>
        <w:instrText xml:space="preserve"> HYPERLINK "http://wiki.mbalib.com/wiki/%E5%BA%93%E5%AD%98%E5%91%A8%E8%BD%AC%E7%8E%87" \o "库存周转率" </w:instrText>
      </w:r>
      <w:r>
        <w:fldChar w:fldCharType="separate"/>
      </w:r>
      <w:r>
        <w:rPr>
          <w:rFonts w:hint="eastAsia"/>
          <w:sz w:val="24"/>
        </w:rPr>
        <w:t>库存周转率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越高，单位商品在仓库停留的时间越短，成反比关系，相应的资金成本、保险以及库存风险成本也与</w:t>
      </w:r>
      <w:r>
        <w:fldChar w:fldCharType="begin"/>
      </w:r>
      <w:r>
        <w:instrText xml:space="preserve"> HYPERLINK "http://wiki.mbalib.com/wiki/%E5%BA%93%E5%AD%98%E5%91%A8%E8%BD%AC%E7%8E%87" \o "库存周转率" </w:instrText>
      </w:r>
      <w:r>
        <w:fldChar w:fldCharType="separate"/>
      </w:r>
      <w:r>
        <w:rPr>
          <w:rFonts w:hint="eastAsia"/>
          <w:sz w:val="24"/>
        </w:rPr>
        <w:t>库存周转率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成反比。库存周转率越低，</w:t>
      </w:r>
      <w:r>
        <w:fldChar w:fldCharType="begin"/>
      </w:r>
      <w:r>
        <w:instrText xml:space="preserve"> HYPERLINK "http://wiki.mbalib.com/wiki/%E6%8C%81%E6%9C%89%E6%88%90%E6%9C%AC" \o "持有成本" </w:instrText>
      </w:r>
      <w:r>
        <w:fldChar w:fldCharType="separate"/>
      </w:r>
      <w:r>
        <w:rPr>
          <w:rFonts w:hint="eastAsia"/>
          <w:sz w:val="24"/>
        </w:rPr>
        <w:t>持有成本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越高，在坐标中呈双曲线状。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161454"/>
    <w:rsid w:val="0021058B"/>
    <w:rsid w:val="00216A1A"/>
    <w:rsid w:val="002E4EC9"/>
    <w:rsid w:val="002F3FCE"/>
    <w:rsid w:val="003B26DB"/>
    <w:rsid w:val="0040007E"/>
    <w:rsid w:val="00456491"/>
    <w:rsid w:val="004607C9"/>
    <w:rsid w:val="004E5BED"/>
    <w:rsid w:val="00616EA1"/>
    <w:rsid w:val="006637F8"/>
    <w:rsid w:val="00667876"/>
    <w:rsid w:val="006824AA"/>
    <w:rsid w:val="006C630D"/>
    <w:rsid w:val="006D3A21"/>
    <w:rsid w:val="006D4840"/>
    <w:rsid w:val="006E54CA"/>
    <w:rsid w:val="00831414"/>
    <w:rsid w:val="008C56B3"/>
    <w:rsid w:val="0091274A"/>
    <w:rsid w:val="00916CFB"/>
    <w:rsid w:val="009E3B09"/>
    <w:rsid w:val="00A269BB"/>
    <w:rsid w:val="00AC222B"/>
    <w:rsid w:val="00AD0106"/>
    <w:rsid w:val="00BB5C22"/>
    <w:rsid w:val="00BD7FC4"/>
    <w:rsid w:val="00BE5126"/>
    <w:rsid w:val="00BF22EE"/>
    <w:rsid w:val="00C2541C"/>
    <w:rsid w:val="00C82C91"/>
    <w:rsid w:val="00E430BE"/>
    <w:rsid w:val="00E54BAB"/>
    <w:rsid w:val="00E56A28"/>
    <w:rsid w:val="00F002E5"/>
    <w:rsid w:val="00F03BCF"/>
    <w:rsid w:val="00F20891"/>
    <w:rsid w:val="00F3161B"/>
    <w:rsid w:val="00FD6D56"/>
    <w:rsid w:val="086025CF"/>
    <w:rsid w:val="09326753"/>
    <w:rsid w:val="0E2E4BF9"/>
    <w:rsid w:val="16CA4603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autoRedefine/>
    <w:qFormat/>
    <w:locked/>
    <w:uiPriority w:val="22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2024-05-13T07:26:10Z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19E2AC1F98EF45C1BA7953F4509405A9_12</vt:lpwstr>
  </property>
</Properties>
</file>