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i1025" o:spt="75" alt="日职标志标准字横排" type="#_x0000_t75" style="height:90.15pt;width:304.4pt;" filled="f" o:preferrelative="t" stroked="f" coordsize="21600,21600">
            <v:path/>
            <v:fill on="f" focussize="0,0"/>
            <v:stroke on="f"/>
            <v:imagedata r:id="rId4" o:title=""/>
            <o:lock v:ext="edit" aspectratio="t"/>
            <w10:wrap type="none"/>
            <w10:anchorlock/>
          </v:shape>
        </w:pict>
      </w:r>
    </w:p>
    <w:p/>
    <w:p>
      <w:r>
        <w:pict>
          <v:rect id="Rectangle 2" o:spid="_x0000_s1026" o:spt="1" style="position:absolute;left:0pt;margin-left:-63.85pt;margin-top:2.7pt;height:168.6pt;width:543.45pt;mso-wrap-style:none;z-index:251659264;v-text-anchor:middle;mso-width-relative:page;mso-height-relative:page;" fillcolor="#0070C0" filled="t" stroked="f" coordsize="21600,21600"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v:path/>
            <v:fill on="t" color2="#FFFFFF" focussize="0,0"/>
            <v:stroke on="f"/>
            <v:imagedata o:title=""/>
            <o:lock v:ext="edit" aspectratio="f"/>
          </v:rect>
        </w:pict>
      </w:r>
    </w:p>
    <w:p/>
    <w:p>
      <w:r>
        <w:pict>
          <v:shape id="TextBox 14" o:spid="_x0000_s1027" o:spt="202" type="#_x0000_t202" style="position:absolute;left:0pt;margin-left:-52.45pt;margin-top:3.45pt;height:203.8pt;width:506.1pt;z-index:251660288;mso-width-relative:page;mso-height-relative:page;" filled="f" stroked="f" coordsize="21600,21600" o:gfxdata="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RXUbYAAAACwEAAA8AAAAAAAAAAQAgAAAA&#10;IgAAAGRycy9kb3ducmV2LnhtbFBLAQIUABQAAAAIAIdO4kBRzTdZ0gEAAKkDAAAOAAAAAAAAAAEA&#10;IAAAACcBAABkcnMvZTJvRG9jLnhtbFBLBQYAAAAABgAGAFkBAABrBQAAAAA=&#10;">
            <v:path/>
            <v:fill on="f" focussize="0,0"/>
            <v:stroke on="f"/>
            <v:imagedata o:title=""/>
            <o:lock v:ext="edit" aspectratio="f"/>
            <v:textbox>
              <w:txbxContent>
                <w:p>
                  <w:pPr>
                    <w:pStyle w:val="3"/>
                    <w:kinsoku/>
                    <w:spacing w:line="288" w:lineRule="auto"/>
                    <w:jc w:val="center"/>
                    <w:rPr>
                      <w:rFonts w:hint="eastAsia" w:eastAsia="微软雅黑"/>
                      <w:lang w:val="en-US" w:eastAsia="zh-CN"/>
                    </w:rPr>
                  </w:pP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Hans"/>
                    </w:rPr>
                    <w:t>物流</w:t>
                  </w:r>
                  <w:r>
                    <w:rPr>
                      <w:rFonts w:hint="eastAsia" w:ascii="微软雅黑" w:eastAsia="微软雅黑"/>
                      <w:b/>
                      <w:color w:val="FFFFFF" w:themeColor="background1"/>
                      <w:kern w:val="24"/>
                      <w:sz w:val="84"/>
                      <w:szCs w:val="84"/>
                      <w:lang w:val="en-US" w:eastAsia="zh-CN"/>
                    </w:rPr>
                    <w:t>成本管理</w:t>
                  </w: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单元设计</w:t>
                  </w:r>
                </w:p>
              </w:txbxContent>
            </v:textbox>
          </v:shape>
        </w:pict>
      </w:r>
    </w:p>
    <w:p/>
    <w:p/>
    <w:p/>
    <w:p/>
    <w:p/>
    <w:p/>
    <w:p/>
    <w:p/>
    <w:p/>
    <w:p/>
    <w:p/>
    <w:p/>
    <w:p/>
    <w:p/>
    <w:p/>
    <w:p/>
    <w:p/>
    <w:p/>
    <w:p/>
    <w:p/>
    <w:p/>
    <w:p>
      <w:pPr>
        <w:jc w:val="center"/>
        <w:rPr>
          <w:rFonts w:hint="eastAsia"/>
          <w:sz w:val="52"/>
          <w:szCs w:val="52"/>
          <w:lang w:val="en-US" w:eastAsia="zh-Hans"/>
        </w:rPr>
      </w:pPr>
      <w:bookmarkStart w:id="1" w:name="_GoBack"/>
      <w:r>
        <w:rPr>
          <w:rFonts w:hint="default"/>
          <w:sz w:val="52"/>
          <w:szCs w:val="52"/>
          <w:lang w:val="en-US"/>
        </w:rPr>
        <w:pict>
          <v:shape id="_x0000_s1028" o:spid="_x0000_s1028" o:spt="75" alt="地滋楼速写1" type="#_x0000_t75" style="position:absolute;left:0pt;margin-left:-34.4pt;margin-top:106.5pt;height:214.9pt;width:595.15pt;z-index:-251655168;mso-width-relative:page;mso-height-relative:page;" filled="f" o:preferrelative="t" stroked="f" coordsize="21600,21600">
            <v:path/>
            <v:fill on="f" focussize="0,0"/>
            <v:stroke on="f"/>
            <v:imagedata r:id="rId5" o:title=""/>
            <o:lock v:ext="edit" aspectratio="t"/>
          </v:shape>
        </w:pict>
      </w:r>
      <w:bookmarkEnd w:id="1"/>
      <w:r>
        <w:rPr>
          <w:rFonts w:hint="eastAsia"/>
          <w:sz w:val="52"/>
          <w:szCs w:val="52"/>
          <w:lang w:val="en-US" w:eastAsia="zh-Hans"/>
        </w:rPr>
        <w:t>商学系</w:t>
      </w:r>
    </w:p>
    <w:p>
      <w:pPr>
        <w:jc w:val="center"/>
        <w:rPr>
          <w:rFonts w:hint="eastAsia"/>
          <w:sz w:val="52"/>
          <w:szCs w:val="52"/>
          <w:lang w:val="en-US" w:eastAsia="zh-Hans"/>
        </w:rPr>
      </w:pPr>
    </w:p>
    <w:p>
      <w:pPr>
        <w:jc w:val="center"/>
        <w:rPr>
          <w:rFonts w:hint="eastAsia"/>
          <w:sz w:val="52"/>
          <w:szCs w:val="52"/>
          <w:lang w:val="en-US" w:eastAsia="zh-Hans"/>
        </w:rPr>
      </w:pPr>
    </w:p>
    <w:p>
      <w:pPr>
        <w:jc w:val="center"/>
        <w:rPr>
          <w:rFonts w:hint="eastAsia"/>
          <w:sz w:val="52"/>
          <w:szCs w:val="52"/>
          <w:lang w:val="en-US" w:eastAsia="zh-Hans"/>
        </w:rPr>
      </w:pPr>
    </w:p>
    <w:p>
      <w:pPr>
        <w:jc w:val="center"/>
        <w:rPr>
          <w:rFonts w:ascii="仿宋" w:hAnsi="仿宋" w:eastAsia="仿宋" w:cs="仿宋"/>
          <w:b/>
          <w:bCs/>
          <w:w w:val="90"/>
          <w:sz w:val="36"/>
        </w:rPr>
      </w:pPr>
      <w:r>
        <w:rPr>
          <w:rFonts w:ascii="仿宋" w:hAnsi="仿宋" w:eastAsia="仿宋" w:cs="仿宋"/>
          <w:b/>
          <w:w w:val="90"/>
          <w:sz w:val="36"/>
          <w:szCs w:val="36"/>
        </w:rPr>
        <w:br w:type="page"/>
      </w:r>
      <w:r>
        <w:rPr>
          <w:rFonts w:hint="eastAsia" w:ascii="仿宋" w:hAnsi="仿宋" w:eastAsia="仿宋" w:cs="仿宋"/>
          <w:b/>
          <w:w w:val="90"/>
          <w:sz w:val="36"/>
          <w:szCs w:val="36"/>
        </w:rPr>
        <w:t>《</w:t>
      </w:r>
      <w:r>
        <w:rPr>
          <w:rFonts w:hint="eastAsia" w:ascii="仿宋" w:hAnsi="仿宋" w:eastAsia="仿宋" w:cs="仿宋"/>
          <w:b/>
          <w:bCs/>
          <w:w w:val="90"/>
          <w:sz w:val="36"/>
        </w:rPr>
        <w:t>物流成本管理》课程单元教学设计</w:t>
      </w:r>
    </w:p>
    <w:p>
      <w:pPr>
        <w:jc w:val="center"/>
        <w:rPr>
          <w:rFonts w:ascii="仿宋" w:hAnsi="仿宋" w:eastAsia="仿宋" w:cs="仿宋"/>
          <w:w w:val="90"/>
          <w:sz w:val="32"/>
        </w:rPr>
      </w:pPr>
    </w:p>
    <w:tbl>
      <w:tblPr>
        <w:tblStyle w:val="4"/>
        <w:tblW w:w="88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540"/>
        <w:gridCol w:w="1913"/>
        <w:gridCol w:w="2525"/>
        <w:gridCol w:w="42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4253" w:type="dxa"/>
            <w:gridSpan w:val="4"/>
            <w:vMerge w:val="restart"/>
            <w:vAlign w:val="center"/>
          </w:tcPr>
          <w:p>
            <w:pPr>
              <w:spacing w:line="320" w:lineRule="exact"/>
              <w:rPr>
                <w:rFonts w:ascii="仿宋" w:hAnsi="仿宋" w:eastAsia="仿宋" w:cs="仿宋"/>
                <w:b/>
                <w:sz w:val="28"/>
                <w:szCs w:val="28"/>
              </w:rPr>
            </w:pPr>
            <w:r>
              <w:rPr>
                <w:rFonts w:hint="eastAsia" w:ascii="仿宋" w:hAnsi="仿宋" w:eastAsia="仿宋" w:cs="仿宋"/>
                <w:b/>
                <w:sz w:val="28"/>
                <w:szCs w:val="28"/>
              </w:rPr>
              <w:t>单元标题：管理仓储成本</w:t>
            </w:r>
          </w:p>
        </w:tc>
        <w:tc>
          <w:tcPr>
            <w:tcW w:w="2945" w:type="dxa"/>
            <w:gridSpan w:val="2"/>
            <w:vAlign w:val="center"/>
          </w:tcPr>
          <w:p>
            <w:pPr>
              <w:rPr>
                <w:rFonts w:ascii="仿宋" w:hAnsi="仿宋" w:eastAsia="仿宋" w:cs="仿宋"/>
                <w:b/>
                <w:sz w:val="28"/>
                <w:szCs w:val="28"/>
              </w:rPr>
            </w:pPr>
            <w:r>
              <w:rPr>
                <w:rFonts w:hint="eastAsia" w:ascii="仿宋" w:hAnsi="仿宋" w:eastAsia="仿宋" w:cs="仿宋"/>
                <w:b/>
                <w:sz w:val="28"/>
                <w:szCs w:val="28"/>
              </w:rPr>
              <w:t>单元教学学时</w:t>
            </w:r>
          </w:p>
        </w:tc>
        <w:tc>
          <w:tcPr>
            <w:tcW w:w="1605" w:type="dxa"/>
            <w:vAlign w:val="center"/>
          </w:tcPr>
          <w:p>
            <w:pPr>
              <w:rPr>
                <w:rFonts w:ascii="仿宋" w:hAnsi="仿宋" w:eastAsia="仿宋" w:cs="仿宋"/>
                <w:b/>
                <w:sz w:val="28"/>
                <w:szCs w:val="28"/>
              </w:rPr>
            </w:pPr>
            <w:r>
              <w:rPr>
                <w:rFonts w:ascii="仿宋" w:hAnsi="仿宋" w:eastAsia="仿宋" w:cs="仿宋"/>
                <w:b/>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4253" w:type="dxa"/>
            <w:gridSpan w:val="4"/>
            <w:vMerge w:val="continue"/>
            <w:vAlign w:val="center"/>
          </w:tcPr>
          <w:p>
            <w:pPr>
              <w:rPr>
                <w:rFonts w:ascii="仿宋" w:hAnsi="仿宋" w:eastAsia="仿宋" w:cs="仿宋"/>
                <w:b/>
                <w:sz w:val="28"/>
                <w:szCs w:val="28"/>
              </w:rPr>
            </w:pPr>
          </w:p>
        </w:tc>
        <w:tc>
          <w:tcPr>
            <w:tcW w:w="2945" w:type="dxa"/>
            <w:gridSpan w:val="2"/>
            <w:vAlign w:val="center"/>
          </w:tcPr>
          <w:p>
            <w:pPr>
              <w:rPr>
                <w:rFonts w:ascii="仿宋" w:hAnsi="仿宋" w:eastAsia="仿宋" w:cs="仿宋"/>
                <w:b/>
                <w:sz w:val="28"/>
                <w:szCs w:val="28"/>
              </w:rPr>
            </w:pPr>
            <w:r>
              <w:rPr>
                <w:rFonts w:hint="eastAsia" w:ascii="仿宋" w:hAnsi="仿宋" w:eastAsia="仿宋" w:cs="仿宋"/>
                <w:b/>
                <w:sz w:val="28"/>
                <w:szCs w:val="28"/>
              </w:rPr>
              <w:t>在整体设计中的位置</w:t>
            </w:r>
          </w:p>
        </w:tc>
        <w:tc>
          <w:tcPr>
            <w:tcW w:w="1605" w:type="dxa"/>
            <w:vAlign w:val="center"/>
          </w:tcPr>
          <w:p>
            <w:pPr>
              <w:rPr>
                <w:rFonts w:ascii="仿宋" w:hAnsi="仿宋" w:eastAsia="仿宋" w:cs="仿宋"/>
                <w:b/>
                <w:sz w:val="28"/>
                <w:szCs w:val="28"/>
              </w:rPr>
            </w:pPr>
            <w:r>
              <w:rPr>
                <w:rFonts w:hint="eastAsia" w:ascii="仿宋" w:hAnsi="仿宋" w:eastAsia="仿宋" w:cs="仿宋"/>
                <w:b/>
                <w:sz w:val="28"/>
                <w:szCs w:val="28"/>
              </w:rPr>
              <w:t>第</w:t>
            </w:r>
            <w:r>
              <w:rPr>
                <w:rFonts w:ascii="仿宋" w:hAnsi="仿宋" w:eastAsia="仿宋" w:cs="仿宋"/>
                <w:b/>
                <w:sz w:val="28"/>
                <w:szCs w:val="28"/>
              </w:rPr>
              <w:t>19</w:t>
            </w:r>
            <w:r>
              <w:rPr>
                <w:rFonts w:hint="eastAsia" w:ascii="仿宋" w:hAnsi="仿宋" w:eastAsia="仿宋" w:cs="仿宋"/>
                <w:b/>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trPr>
        <w:tc>
          <w:tcPr>
            <w:tcW w:w="900" w:type="dxa"/>
            <w:vAlign w:val="center"/>
          </w:tcPr>
          <w:p>
            <w:pPr>
              <w:spacing w:line="320" w:lineRule="exact"/>
              <w:rPr>
                <w:rFonts w:ascii="仿宋" w:hAnsi="仿宋" w:eastAsia="仿宋" w:cs="仿宋"/>
                <w:b/>
                <w:sz w:val="28"/>
                <w:szCs w:val="28"/>
              </w:rPr>
            </w:pPr>
            <w:r>
              <w:rPr>
                <w:rFonts w:hint="eastAsia" w:ascii="仿宋" w:hAnsi="仿宋" w:eastAsia="仿宋" w:cs="仿宋"/>
                <w:b/>
                <w:sz w:val="28"/>
                <w:szCs w:val="28"/>
              </w:rPr>
              <w:t>授课班级</w:t>
            </w:r>
          </w:p>
        </w:tc>
        <w:tc>
          <w:tcPr>
            <w:tcW w:w="900" w:type="dxa"/>
            <w:vAlign w:val="center"/>
          </w:tcPr>
          <w:p>
            <w:pPr>
              <w:rPr>
                <w:rFonts w:ascii="宋体"/>
                <w:sz w:val="24"/>
              </w:rPr>
            </w:pPr>
            <w:r>
              <w:rPr>
                <w:rFonts w:hint="eastAsia" w:ascii="仿宋" w:hAnsi="仿宋" w:eastAsia="仿宋" w:cs="仿宋"/>
                <w:b/>
                <w:sz w:val="24"/>
              </w:rPr>
              <w:t>物流管理专</w:t>
            </w:r>
            <w:r>
              <w:rPr>
                <w:rFonts w:ascii="仿宋" w:hAnsi="仿宋" w:eastAsia="仿宋" w:cs="仿宋"/>
                <w:b/>
                <w:sz w:val="24"/>
              </w:rPr>
              <w:t xml:space="preserve"> </w:t>
            </w:r>
            <w:r>
              <w:rPr>
                <w:rFonts w:hint="eastAsia" w:ascii="仿宋" w:hAnsi="仿宋" w:eastAsia="仿宋" w:cs="仿宋"/>
                <w:b/>
                <w:sz w:val="24"/>
              </w:rPr>
              <w:t>业</w:t>
            </w:r>
          </w:p>
        </w:tc>
        <w:tc>
          <w:tcPr>
            <w:tcW w:w="54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上课</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时间</w:t>
            </w:r>
          </w:p>
        </w:tc>
        <w:tc>
          <w:tcPr>
            <w:tcW w:w="1913" w:type="dxa"/>
            <w:vAlign w:val="center"/>
          </w:tcPr>
          <w:p>
            <w:pPr>
              <w:rPr>
                <w:rFonts w:ascii="仿宋" w:hAnsi="仿宋" w:eastAsia="仿宋" w:cs="仿宋"/>
                <w:sz w:val="28"/>
                <w:szCs w:val="28"/>
              </w:rPr>
            </w:pPr>
            <w:r>
              <w:rPr>
                <w:rFonts w:hint="eastAsia" w:ascii="仿宋" w:hAnsi="仿宋" w:eastAsia="仿宋" w:cs="仿宋"/>
                <w:b/>
                <w:sz w:val="24"/>
              </w:rPr>
              <w:t>周</w:t>
            </w:r>
            <w:r>
              <w:rPr>
                <w:rFonts w:ascii="仿宋" w:hAnsi="仿宋" w:eastAsia="仿宋" w:cs="仿宋"/>
                <w:b/>
                <w:sz w:val="24"/>
              </w:rPr>
              <w:t xml:space="preserve"> </w:t>
            </w:r>
            <w:r>
              <w:rPr>
                <w:rFonts w:hint="eastAsia" w:ascii="仿宋" w:hAnsi="仿宋" w:eastAsia="仿宋" w:cs="仿宋"/>
                <w:b/>
                <w:sz w:val="24"/>
              </w:rPr>
              <w:t>月</w:t>
            </w:r>
            <w:r>
              <w:rPr>
                <w:rFonts w:ascii="仿宋" w:hAnsi="仿宋" w:eastAsia="仿宋" w:cs="仿宋"/>
                <w:b/>
                <w:sz w:val="24"/>
              </w:rPr>
              <w:t xml:space="preserve"> </w:t>
            </w:r>
            <w:r>
              <w:rPr>
                <w:rFonts w:hint="eastAsia" w:ascii="仿宋" w:hAnsi="仿宋" w:eastAsia="仿宋" w:cs="仿宋"/>
                <w:b/>
                <w:sz w:val="24"/>
              </w:rPr>
              <w:t>日第</w:t>
            </w:r>
            <w:r>
              <w:rPr>
                <w:rFonts w:ascii="仿宋" w:hAnsi="仿宋" w:eastAsia="仿宋" w:cs="仿宋"/>
                <w:b/>
                <w:sz w:val="24"/>
              </w:rPr>
              <w:t xml:space="preserve">    </w:t>
            </w:r>
            <w:r>
              <w:rPr>
                <w:rFonts w:hint="eastAsia" w:ascii="仿宋" w:hAnsi="仿宋" w:eastAsia="仿宋" w:cs="仿宋"/>
                <w:b/>
                <w:sz w:val="24"/>
              </w:rPr>
              <w:t>节至</w:t>
            </w:r>
            <w:r>
              <w:rPr>
                <w:rFonts w:ascii="仿宋" w:hAnsi="仿宋" w:eastAsia="仿宋" w:cs="仿宋"/>
                <w:b/>
                <w:sz w:val="24"/>
              </w:rPr>
              <w:t xml:space="preserve">  </w:t>
            </w:r>
            <w:r>
              <w:rPr>
                <w:rFonts w:hint="eastAsia" w:ascii="仿宋" w:hAnsi="仿宋" w:eastAsia="仿宋" w:cs="仿宋"/>
                <w:b/>
                <w:sz w:val="24"/>
              </w:rPr>
              <w:t>周</w:t>
            </w:r>
            <w:r>
              <w:rPr>
                <w:rFonts w:ascii="仿宋" w:hAnsi="仿宋" w:eastAsia="仿宋" w:cs="仿宋"/>
                <w:b/>
                <w:sz w:val="24"/>
              </w:rPr>
              <w:t xml:space="preserve"> </w:t>
            </w:r>
            <w:r>
              <w:rPr>
                <w:rFonts w:hint="eastAsia" w:ascii="仿宋" w:hAnsi="仿宋" w:eastAsia="仿宋" w:cs="仿宋"/>
                <w:b/>
                <w:sz w:val="24"/>
              </w:rPr>
              <w:t>月</w:t>
            </w:r>
            <w:r>
              <w:rPr>
                <w:rFonts w:ascii="仿宋" w:hAnsi="仿宋" w:eastAsia="仿宋" w:cs="仿宋"/>
                <w:b/>
                <w:sz w:val="24"/>
              </w:rPr>
              <w:t xml:space="preserve"> </w:t>
            </w:r>
            <w:r>
              <w:rPr>
                <w:rFonts w:hint="eastAsia" w:ascii="仿宋" w:hAnsi="仿宋" w:eastAsia="仿宋" w:cs="仿宋"/>
                <w:b/>
                <w:sz w:val="24"/>
              </w:rPr>
              <w:t>日第</w:t>
            </w:r>
            <w:r>
              <w:rPr>
                <w:rFonts w:ascii="仿宋" w:hAnsi="仿宋" w:eastAsia="仿宋" w:cs="仿宋"/>
                <w:b/>
                <w:sz w:val="24"/>
              </w:rPr>
              <w:t xml:space="preserve">    </w:t>
            </w:r>
            <w:r>
              <w:rPr>
                <w:rFonts w:hint="eastAsia" w:ascii="仿宋" w:hAnsi="仿宋" w:eastAsia="仿宋" w:cs="仿宋"/>
                <w:b/>
                <w:sz w:val="24"/>
              </w:rPr>
              <w:t>节</w:t>
            </w:r>
          </w:p>
        </w:tc>
        <w:tc>
          <w:tcPr>
            <w:tcW w:w="2945"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上课</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地点</w:t>
            </w:r>
          </w:p>
        </w:tc>
        <w:tc>
          <w:tcPr>
            <w:tcW w:w="1605" w:type="dxa"/>
            <w:vAlign w:val="center"/>
          </w:tcPr>
          <w:p>
            <w:pPr>
              <w:jc w:val="center"/>
              <w:rPr>
                <w:rFonts w:ascii="仿宋" w:hAnsi="仿宋" w:eastAsia="仿宋" w:cs="仿宋"/>
                <w:b/>
                <w:sz w:val="24"/>
              </w:rPr>
            </w:pPr>
            <w:r>
              <w:rPr>
                <w:rFonts w:hint="eastAsia" w:ascii="仿宋" w:hAnsi="仿宋" w:eastAsia="仿宋" w:cs="仿宋"/>
                <w:b/>
                <w:sz w:val="24"/>
              </w:rPr>
              <w:t>多媒体</w:t>
            </w:r>
          </w:p>
          <w:p>
            <w:pPr>
              <w:jc w:val="center"/>
              <w:rPr>
                <w:rFonts w:ascii="仿宋" w:hAnsi="仿宋" w:eastAsia="仿宋" w:cs="仿宋"/>
                <w:sz w:val="24"/>
              </w:rPr>
            </w:pPr>
            <w:r>
              <w:rPr>
                <w:rFonts w:hint="eastAsia" w:ascii="仿宋" w:hAnsi="仿宋" w:eastAsia="仿宋" w:cs="仿宋"/>
                <w:b/>
                <w:sz w:val="24"/>
              </w:rPr>
              <w:t>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900" w:type="dxa"/>
            <w:vMerge w:val="restart"/>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目标</w:t>
            </w:r>
          </w:p>
        </w:tc>
        <w:tc>
          <w:tcPr>
            <w:tcW w:w="3353" w:type="dxa"/>
            <w:gridSpan w:val="3"/>
            <w:vAlign w:val="center"/>
          </w:tcPr>
          <w:p>
            <w:pPr>
              <w:spacing w:line="320" w:lineRule="exact"/>
              <w:jc w:val="center"/>
              <w:rPr>
                <w:rFonts w:ascii="仿宋" w:hAnsi="仿宋" w:eastAsia="仿宋" w:cs="仿宋"/>
                <w:sz w:val="28"/>
                <w:szCs w:val="28"/>
              </w:rPr>
            </w:pPr>
            <w:r>
              <w:rPr>
                <w:rFonts w:hint="eastAsia" w:ascii="仿宋" w:hAnsi="仿宋" w:eastAsia="仿宋" w:cs="仿宋"/>
                <w:b/>
                <w:sz w:val="28"/>
                <w:szCs w:val="28"/>
              </w:rPr>
              <w:t>能力目标</w:t>
            </w:r>
          </w:p>
        </w:tc>
        <w:tc>
          <w:tcPr>
            <w:tcW w:w="2525" w:type="dxa"/>
            <w:vAlign w:val="center"/>
          </w:tcPr>
          <w:p>
            <w:pPr>
              <w:spacing w:line="320" w:lineRule="exact"/>
              <w:jc w:val="center"/>
              <w:rPr>
                <w:rFonts w:ascii="仿宋" w:hAnsi="仿宋" w:eastAsia="仿宋" w:cs="仿宋"/>
                <w:sz w:val="28"/>
                <w:szCs w:val="28"/>
              </w:rPr>
            </w:pPr>
            <w:r>
              <w:rPr>
                <w:rFonts w:hint="eastAsia" w:ascii="仿宋" w:hAnsi="仿宋" w:eastAsia="仿宋" w:cs="仿宋"/>
                <w:b/>
                <w:sz w:val="28"/>
                <w:szCs w:val="28"/>
              </w:rPr>
              <w:t>知识目标</w:t>
            </w:r>
          </w:p>
        </w:tc>
        <w:tc>
          <w:tcPr>
            <w:tcW w:w="2025"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素质目标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4" w:hRule="atLeast"/>
        </w:trPr>
        <w:tc>
          <w:tcPr>
            <w:tcW w:w="900" w:type="dxa"/>
            <w:vMerge w:val="continue"/>
            <w:vAlign w:val="center"/>
          </w:tcPr>
          <w:p>
            <w:pPr>
              <w:spacing w:line="320" w:lineRule="exact"/>
              <w:jc w:val="center"/>
              <w:rPr>
                <w:rFonts w:ascii="仿宋" w:hAnsi="仿宋" w:eastAsia="仿宋" w:cs="仿宋"/>
                <w:sz w:val="28"/>
                <w:szCs w:val="28"/>
              </w:rPr>
            </w:pPr>
          </w:p>
        </w:tc>
        <w:tc>
          <w:tcPr>
            <w:tcW w:w="3353" w:type="dxa"/>
            <w:gridSpan w:val="3"/>
            <w:vAlign w:val="center"/>
          </w:tcPr>
          <w:p>
            <w:pPr>
              <w:spacing w:line="240" w:lineRule="atLeast"/>
              <w:rPr>
                <w:rFonts w:ascii="仿宋" w:hAnsi="仿宋" w:eastAsia="仿宋"/>
                <w:b/>
                <w:sz w:val="24"/>
              </w:rPr>
            </w:pPr>
            <w:r>
              <w:rPr>
                <w:rFonts w:hint="eastAsia" w:ascii="仿宋" w:hAnsi="仿宋" w:eastAsia="仿宋"/>
                <w:b/>
                <w:sz w:val="24"/>
              </w:rPr>
              <w:t>能进行仓储成本计算</w:t>
            </w:r>
          </w:p>
          <w:p>
            <w:pPr>
              <w:spacing w:line="440" w:lineRule="exact"/>
              <w:jc w:val="left"/>
              <w:rPr>
                <w:rFonts w:ascii="仿宋" w:hAnsi="仿宋" w:eastAsia="仿宋"/>
                <w:b/>
                <w:sz w:val="24"/>
              </w:rPr>
            </w:pPr>
          </w:p>
        </w:tc>
        <w:tc>
          <w:tcPr>
            <w:tcW w:w="2525" w:type="dxa"/>
            <w:vAlign w:val="center"/>
          </w:tcPr>
          <w:p>
            <w:pPr>
              <w:spacing w:line="440" w:lineRule="exact"/>
              <w:rPr>
                <w:rFonts w:ascii="仿宋" w:hAnsi="仿宋" w:eastAsia="仿宋"/>
                <w:b/>
                <w:sz w:val="24"/>
              </w:rPr>
            </w:pPr>
            <w:r>
              <w:rPr>
                <w:rFonts w:hint="eastAsia" w:ascii="仿宋" w:hAnsi="仿宋" w:eastAsia="仿宋"/>
                <w:b/>
                <w:sz w:val="24"/>
              </w:rPr>
              <w:t>了解仓储成本的计算方法</w:t>
            </w:r>
          </w:p>
        </w:tc>
        <w:tc>
          <w:tcPr>
            <w:tcW w:w="2025" w:type="dxa"/>
            <w:gridSpan w:val="2"/>
            <w:vAlign w:val="center"/>
          </w:tcPr>
          <w:p>
            <w:pPr>
              <w:spacing w:line="440" w:lineRule="exact"/>
              <w:jc w:val="left"/>
              <w:rPr>
                <w:rFonts w:ascii="仿宋" w:hAnsi="仿宋" w:eastAsia="仿宋"/>
                <w:b/>
                <w:sz w:val="24"/>
              </w:rPr>
            </w:pPr>
            <w:r>
              <w:rPr>
                <w:rFonts w:hint="eastAsia" w:ascii="仿宋" w:hAnsi="仿宋" w:eastAsia="仿宋"/>
                <w:b/>
                <w:sz w:val="24"/>
              </w:rPr>
              <w:t>培养学生的职业素养和团队合作精神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6" w:hRule="atLeast"/>
        </w:trPr>
        <w:tc>
          <w:tcPr>
            <w:tcW w:w="90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能力训练任务</w:t>
            </w:r>
          </w:p>
        </w:tc>
        <w:tc>
          <w:tcPr>
            <w:tcW w:w="7903" w:type="dxa"/>
            <w:gridSpan w:val="6"/>
            <w:vAlign w:val="center"/>
          </w:tcPr>
          <w:p>
            <w:pPr>
              <w:spacing w:line="440" w:lineRule="exact"/>
              <w:rPr>
                <w:rFonts w:ascii="仿宋" w:hAnsi="仿宋" w:eastAsia="仿宋"/>
                <w:b/>
                <w:sz w:val="28"/>
                <w:szCs w:val="28"/>
              </w:rPr>
            </w:pPr>
            <w:r>
              <w:rPr>
                <w:rFonts w:hint="eastAsia" w:ascii="仿宋" w:hAnsi="仿宋" w:eastAsia="仿宋"/>
                <w:b/>
                <w:sz w:val="28"/>
                <w:szCs w:val="28"/>
              </w:rPr>
              <w:t>情境设置：</w:t>
            </w:r>
          </w:p>
          <w:p>
            <w:pPr>
              <w:spacing w:line="240" w:lineRule="atLeast"/>
              <w:rPr>
                <w:rFonts w:ascii="仿宋" w:hAnsi="仿宋" w:eastAsia="仿宋"/>
                <w:b/>
                <w:sz w:val="24"/>
              </w:rPr>
            </w:pPr>
            <w:r>
              <w:rPr>
                <w:rFonts w:hint="eastAsia" w:ascii="仿宋" w:hAnsi="仿宋" w:eastAsia="仿宋"/>
                <w:b/>
                <w:sz w:val="24"/>
              </w:rPr>
              <w:t>甲公司采用何种方式管理其仓储</w:t>
            </w:r>
          </w:p>
          <w:p>
            <w:pPr>
              <w:rPr>
                <w:rFonts w:ascii="仿宋" w:hAnsi="仿宋" w:eastAsia="仿宋"/>
                <w:b/>
                <w:sz w:val="24"/>
              </w:rPr>
            </w:pPr>
          </w:p>
          <w:p>
            <w:pPr>
              <w:spacing w:line="440" w:lineRule="exact"/>
              <w:rPr>
                <w:rFonts w:ascii="仿宋" w:hAnsi="仿宋" w:eastAsia="仿宋"/>
                <w:b/>
                <w:sz w:val="28"/>
                <w:szCs w:val="28"/>
              </w:rPr>
            </w:pPr>
            <w:r>
              <w:rPr>
                <w:rFonts w:hint="eastAsia" w:ascii="仿宋" w:hAnsi="仿宋" w:eastAsia="仿宋"/>
                <w:b/>
                <w:sz w:val="28"/>
                <w:szCs w:val="28"/>
              </w:rPr>
              <w:t>课堂任务：</w:t>
            </w:r>
          </w:p>
          <w:p>
            <w:pPr>
              <w:spacing w:line="240" w:lineRule="atLeast"/>
              <w:rPr>
                <w:rFonts w:ascii="仿宋" w:hAnsi="仿宋" w:eastAsia="仿宋" w:cs="仿宋"/>
                <w:sz w:val="24"/>
              </w:rPr>
            </w:pPr>
            <w:r>
              <w:rPr>
                <w:rFonts w:hint="eastAsia" w:ascii="仿宋" w:hAnsi="仿宋" w:eastAsia="仿宋"/>
                <w:b/>
                <w:sz w:val="24"/>
              </w:rPr>
              <w:t>分组计算仓储成本</w:t>
            </w:r>
          </w:p>
        </w:tc>
      </w:tr>
    </w:tbl>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tbl>
      <w:tblPr>
        <w:tblStyle w:val="4"/>
        <w:tblW w:w="9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93" w:hRule="atLeast"/>
        </w:trPr>
        <w:tc>
          <w:tcPr>
            <w:tcW w:w="607"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案例和</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材料</w:t>
            </w:r>
          </w:p>
        </w:tc>
        <w:tc>
          <w:tcPr>
            <w:tcW w:w="8793" w:type="dxa"/>
          </w:tcPr>
          <w:p>
            <w:pPr>
              <w:spacing w:line="440" w:lineRule="exact"/>
              <w:jc w:val="left"/>
              <w:rPr>
                <w:rFonts w:ascii="宋体"/>
                <w:sz w:val="24"/>
              </w:rPr>
            </w:pPr>
            <w:r>
              <w:rPr>
                <w:rFonts w:hint="eastAsia" w:ascii="仿宋" w:hAnsi="仿宋" w:eastAsia="仿宋"/>
                <w:b/>
                <w:sz w:val="28"/>
                <w:szCs w:val="28"/>
              </w:rPr>
              <w:t>案例</w:t>
            </w:r>
            <w:r>
              <w:rPr>
                <w:rFonts w:ascii="仿宋" w:hAnsi="仿宋" w:eastAsia="仿宋"/>
                <w:b/>
                <w:sz w:val="28"/>
                <w:szCs w:val="28"/>
              </w:rPr>
              <w:t xml:space="preserve">: </w:t>
            </w:r>
          </w:p>
          <w:p>
            <w:pPr>
              <w:spacing w:line="540" w:lineRule="exact"/>
              <w:ind w:firstLine="480" w:firstLineChars="200"/>
              <w:jc w:val="left"/>
              <w:rPr>
                <w:rFonts w:ascii="宋体"/>
                <w:sz w:val="24"/>
              </w:rPr>
            </w:pPr>
            <w:r>
              <w:rPr>
                <w:rFonts w:hint="eastAsia" w:ascii="宋体" w:hAnsi="宋体"/>
                <w:sz w:val="24"/>
              </w:rPr>
              <w:t>甲公司是一个小麦加工为主的中外合资面粉生产企业。截止</w:t>
            </w:r>
            <w:r>
              <w:rPr>
                <w:rFonts w:ascii="宋体" w:hAnsi="宋体"/>
                <w:sz w:val="24"/>
              </w:rPr>
              <w:t>2016</w:t>
            </w:r>
            <w:r>
              <w:rPr>
                <w:rFonts w:hint="eastAsia" w:ascii="宋体" w:hAnsi="宋体"/>
                <w:sz w:val="24"/>
              </w:rPr>
              <w:t>年底，该公司资产总额</w:t>
            </w:r>
            <w:r>
              <w:rPr>
                <w:rFonts w:ascii="宋体" w:hAnsi="宋体"/>
                <w:sz w:val="24"/>
              </w:rPr>
              <w:t>6186</w:t>
            </w:r>
            <w:r>
              <w:rPr>
                <w:rFonts w:hint="eastAsia" w:ascii="宋体" w:hAnsi="宋体"/>
                <w:sz w:val="24"/>
              </w:rPr>
              <w:t>万元，</w:t>
            </w:r>
            <w:r>
              <w:rPr>
                <w:rFonts w:ascii="宋体" w:hAnsi="宋体"/>
                <w:sz w:val="24"/>
              </w:rPr>
              <w:t>2016</w:t>
            </w:r>
            <w:r>
              <w:rPr>
                <w:rFonts w:hint="eastAsia" w:ascii="宋体" w:hAnsi="宋体"/>
                <w:sz w:val="24"/>
              </w:rPr>
              <w:t>年实现销售收入</w:t>
            </w:r>
            <w:r>
              <w:rPr>
                <w:rFonts w:ascii="宋体" w:hAnsi="宋体"/>
                <w:sz w:val="24"/>
              </w:rPr>
              <w:t>1.23</w:t>
            </w:r>
            <w:r>
              <w:rPr>
                <w:rFonts w:hint="eastAsia" w:ascii="宋体" w:hAnsi="宋体"/>
                <w:sz w:val="24"/>
              </w:rPr>
              <w:t>亿元，实现利润总额</w:t>
            </w:r>
            <w:r>
              <w:rPr>
                <w:rFonts w:ascii="宋体" w:hAnsi="宋体"/>
                <w:sz w:val="24"/>
              </w:rPr>
              <w:t>6562</w:t>
            </w:r>
            <w:r>
              <w:rPr>
                <w:rFonts w:hint="eastAsia" w:ascii="宋体" w:hAnsi="宋体"/>
                <w:sz w:val="24"/>
              </w:rPr>
              <w:t>万元，内部设有会计部（兼做信息工作）、人事部、采购部、生产部、质量部、仓储部和销售部</w:t>
            </w:r>
            <w:r>
              <w:rPr>
                <w:rFonts w:ascii="宋体" w:hAnsi="宋体"/>
                <w:sz w:val="24"/>
              </w:rPr>
              <w:t>7</w:t>
            </w:r>
            <w:r>
              <w:rPr>
                <w:rFonts w:hint="eastAsia" w:ascii="宋体" w:hAnsi="宋体"/>
                <w:sz w:val="24"/>
              </w:rPr>
              <w:t>个部门，共有员工</w:t>
            </w:r>
            <w:r>
              <w:rPr>
                <w:rFonts w:ascii="宋体" w:hAnsi="宋体"/>
                <w:sz w:val="24"/>
              </w:rPr>
              <w:t>145</w:t>
            </w:r>
            <w:r>
              <w:rPr>
                <w:rFonts w:hint="eastAsia" w:ascii="宋体" w:hAnsi="宋体"/>
                <w:sz w:val="24"/>
              </w:rPr>
              <w:t>人，其中采购人员</w:t>
            </w:r>
            <w:r>
              <w:rPr>
                <w:rFonts w:ascii="宋体" w:hAnsi="宋体"/>
                <w:sz w:val="24"/>
              </w:rPr>
              <w:t>5</w:t>
            </w:r>
            <w:r>
              <w:rPr>
                <w:rFonts w:hint="eastAsia" w:ascii="宋体" w:hAnsi="宋体"/>
                <w:sz w:val="24"/>
              </w:rPr>
              <w:t>人，生产人员</w:t>
            </w:r>
            <w:r>
              <w:rPr>
                <w:rFonts w:ascii="宋体" w:hAnsi="宋体"/>
                <w:sz w:val="24"/>
              </w:rPr>
              <w:t>60</w:t>
            </w:r>
            <w:r>
              <w:rPr>
                <w:rFonts w:hint="eastAsia" w:ascii="宋体" w:hAnsi="宋体"/>
                <w:sz w:val="24"/>
              </w:rPr>
              <w:t>人，营销人员</w:t>
            </w:r>
            <w:r>
              <w:rPr>
                <w:rFonts w:ascii="宋体" w:hAnsi="宋体"/>
                <w:sz w:val="24"/>
              </w:rPr>
              <w:t>20</w:t>
            </w:r>
            <w:r>
              <w:rPr>
                <w:rFonts w:hint="eastAsia" w:ascii="宋体" w:hAnsi="宋体"/>
                <w:sz w:val="24"/>
              </w:rPr>
              <w:t>人，其余为管理人员。该公司有一个总面积为</w:t>
            </w:r>
            <w:r>
              <w:rPr>
                <w:rFonts w:ascii="宋体" w:hAnsi="宋体"/>
                <w:sz w:val="24"/>
              </w:rPr>
              <w:t>10000</w:t>
            </w:r>
            <w:r>
              <w:rPr>
                <w:rFonts w:hint="eastAsia" w:ascii="宋体" w:hAnsi="宋体"/>
                <w:sz w:val="24"/>
              </w:rPr>
              <w:t>平方米的仓库，用于储存小麦、面粉等存货，而运输业务和装运搬卸业务均由外部人员承包，公司支付运费和装卸搬运费。本案例以甲公司</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月有关成本费用资料为依据，计算</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月的物流成本。甲公司的成本费用科目有生产成本、制造费用、销售费用、管理费用、财务费用、营业外支出和其他业务成本，其中营业外支出</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月份无发生额。</w:t>
            </w:r>
          </w:p>
          <w:p>
            <w:pPr>
              <w:spacing w:line="440" w:lineRule="exact"/>
              <w:ind w:firstLine="240" w:firstLineChars="100"/>
              <w:jc w:val="left"/>
              <w:rPr>
                <w:rFonts w:ascii="宋体"/>
                <w:sz w:val="24"/>
              </w:rPr>
            </w:pPr>
          </w:p>
          <w:p>
            <w:pPr>
              <w:spacing w:line="440" w:lineRule="exact"/>
              <w:ind w:firstLine="240" w:firstLineChars="100"/>
              <w:jc w:val="left"/>
              <w:rPr>
                <w:rFonts w:ascii="宋体"/>
                <w:sz w:val="24"/>
              </w:rPr>
            </w:pPr>
          </w:p>
          <w:p>
            <w:pPr>
              <w:spacing w:line="440" w:lineRule="exact"/>
              <w:jc w:val="left"/>
              <w:rPr>
                <w:rFonts w:ascii="仿宋" w:hAnsi="仿宋" w:eastAsia="仿宋"/>
                <w:b/>
                <w:sz w:val="28"/>
                <w:szCs w:val="28"/>
              </w:rPr>
            </w:pPr>
            <w:r>
              <w:rPr>
                <w:rFonts w:hint="eastAsia" w:ascii="仿宋" w:hAnsi="仿宋" w:eastAsia="仿宋"/>
                <w:b/>
                <w:sz w:val="28"/>
                <w:szCs w:val="28"/>
              </w:rPr>
              <w:t>教学材料：</w:t>
            </w:r>
          </w:p>
          <w:p>
            <w:pPr>
              <w:spacing w:line="540" w:lineRule="exact"/>
              <w:ind w:firstLine="480" w:firstLineChars="200"/>
              <w:jc w:val="left"/>
              <w:rPr>
                <w:rFonts w:ascii="宋体"/>
                <w:sz w:val="24"/>
              </w:rPr>
            </w:pPr>
            <w:r>
              <w:rPr>
                <w:rFonts w:hint="eastAsia" w:ascii="宋体" w:hAnsi="宋体"/>
                <w:sz w:val="24"/>
              </w:rPr>
              <w:t>教材：古全美</w:t>
            </w:r>
            <w:r>
              <w:rPr>
                <w:rFonts w:ascii="宋体" w:hAnsi="宋体"/>
                <w:sz w:val="24"/>
              </w:rPr>
              <w:t xml:space="preserve"> </w:t>
            </w:r>
            <w:r>
              <w:rPr>
                <w:rFonts w:hint="eastAsia" w:ascii="宋体" w:hAnsi="宋体"/>
                <w:sz w:val="24"/>
              </w:rPr>
              <w:t>张述敬主编《物流成本管理》</w:t>
            </w:r>
          </w:p>
          <w:p>
            <w:pPr>
              <w:spacing w:line="540" w:lineRule="exact"/>
              <w:ind w:firstLine="480" w:firstLineChars="200"/>
              <w:jc w:val="left"/>
              <w:rPr>
                <w:rFonts w:ascii="宋体"/>
                <w:sz w:val="24"/>
              </w:rPr>
            </w:pPr>
            <w:r>
              <w:rPr>
                <w:rFonts w:hint="eastAsia" w:ascii="宋体" w:hAnsi="宋体"/>
                <w:sz w:val="24"/>
              </w:rPr>
              <w:t>参考资料：</w:t>
            </w:r>
          </w:p>
          <w:p>
            <w:pPr>
              <w:spacing w:line="540" w:lineRule="exact"/>
              <w:ind w:firstLine="480" w:firstLineChars="200"/>
              <w:jc w:val="left"/>
              <w:rPr>
                <w:rFonts w:ascii="宋体" w:hAnsi="宋体"/>
                <w:sz w:val="24"/>
              </w:rPr>
            </w:pPr>
            <w:r>
              <w:rPr>
                <w:rFonts w:hint="eastAsia" w:ascii="宋体" w:hAnsi="宋体"/>
                <w:sz w:val="24"/>
              </w:rPr>
              <w:t>商业周刊</w:t>
            </w:r>
            <w:r>
              <w:rPr>
                <w:rFonts w:ascii="宋体" w:hAnsi="宋体"/>
                <w:sz w:val="24"/>
              </w:rPr>
              <w:t xml:space="preserve"> http://www.businessweek.com /</w:t>
            </w:r>
          </w:p>
          <w:p>
            <w:pPr>
              <w:spacing w:line="540" w:lineRule="exact"/>
              <w:ind w:firstLine="480" w:firstLineChars="200"/>
              <w:jc w:val="left"/>
              <w:rPr>
                <w:rFonts w:ascii="宋体" w:hAnsi="宋体"/>
                <w:sz w:val="24"/>
              </w:rPr>
            </w:pPr>
            <w:r>
              <w:rPr>
                <w:rFonts w:hint="eastAsia" w:ascii="宋体" w:hAnsi="宋体"/>
                <w:sz w:val="24"/>
              </w:rPr>
              <w:t>经济学家</w:t>
            </w:r>
            <w:r>
              <w:rPr>
                <w:rFonts w:ascii="宋体" w:hAnsi="宋体"/>
                <w:sz w:val="24"/>
              </w:rPr>
              <w:t xml:space="preserve"> http://www.economist.com </w:t>
            </w:r>
          </w:p>
          <w:p>
            <w:pPr>
              <w:spacing w:line="540" w:lineRule="exact"/>
              <w:ind w:firstLine="480" w:firstLineChars="200"/>
              <w:jc w:val="left"/>
              <w:rPr>
                <w:rFonts w:ascii="宋体" w:hAnsi="宋体"/>
                <w:sz w:val="24"/>
              </w:rPr>
            </w:pPr>
            <w:r>
              <w:rPr>
                <w:rFonts w:hint="eastAsia" w:ascii="宋体" w:hAnsi="宋体"/>
                <w:sz w:val="24"/>
              </w:rPr>
              <w:t>金融时报</w:t>
            </w:r>
            <w:r>
              <w:rPr>
                <w:rFonts w:ascii="宋体" w:hAnsi="宋体"/>
                <w:sz w:val="24"/>
              </w:rPr>
              <w:t xml:space="preserve"> http://www.ft.com </w:t>
            </w:r>
          </w:p>
          <w:p>
            <w:pPr>
              <w:spacing w:line="540" w:lineRule="exact"/>
              <w:ind w:firstLine="480" w:firstLineChars="200"/>
              <w:jc w:val="left"/>
              <w:rPr>
                <w:rFonts w:ascii="宋体" w:hAnsi="宋体"/>
                <w:sz w:val="24"/>
              </w:rPr>
            </w:pPr>
            <w:r>
              <w:rPr>
                <w:rFonts w:hint="eastAsia" w:ascii="宋体" w:hAnsi="宋体"/>
                <w:sz w:val="24"/>
              </w:rPr>
              <w:t>财富</w:t>
            </w:r>
            <w:r>
              <w:rPr>
                <w:rFonts w:ascii="宋体" w:hAnsi="宋体"/>
                <w:sz w:val="24"/>
              </w:rPr>
              <w:t xml:space="preserve"> http://www.fortune.com/</w:t>
            </w:r>
          </w:p>
          <w:p>
            <w:pPr>
              <w:spacing w:line="540" w:lineRule="exact"/>
              <w:ind w:firstLine="480" w:firstLineChars="200"/>
              <w:jc w:val="left"/>
              <w:rPr>
                <w:rFonts w:ascii="宋体" w:hAnsi="宋体"/>
                <w:sz w:val="24"/>
              </w:rPr>
            </w:pPr>
            <w:r>
              <w:rPr>
                <w:rFonts w:hint="eastAsia" w:ascii="宋体" w:hAnsi="宋体"/>
                <w:sz w:val="24"/>
              </w:rPr>
              <w:t>哈佛商业评论</w:t>
            </w:r>
            <w:r>
              <w:rPr>
                <w:rFonts w:ascii="宋体" w:hAnsi="宋体"/>
                <w:sz w:val="24"/>
              </w:rPr>
              <w:t xml:space="preserve"> http://www.hbr.com</w:t>
            </w:r>
          </w:p>
          <w:p>
            <w:pPr>
              <w:spacing w:line="540" w:lineRule="exact"/>
              <w:ind w:firstLine="480" w:firstLineChars="200"/>
              <w:jc w:val="left"/>
              <w:rPr>
                <w:rFonts w:ascii="宋体"/>
                <w:sz w:val="24"/>
              </w:rPr>
            </w:pPr>
            <w:r>
              <w:rPr>
                <w:rFonts w:hint="eastAsia" w:ascii="宋体" w:hAnsi="宋体"/>
                <w:sz w:val="24"/>
              </w:rPr>
              <w:t>企业家</w:t>
            </w:r>
            <w:r>
              <w:rPr>
                <w:rFonts w:ascii="宋体" w:hAnsi="宋体"/>
                <w:sz w:val="24"/>
              </w:rPr>
              <w:t xml:space="preserve"> http://www.entrepreneur.com </w:t>
            </w:r>
          </w:p>
          <w:p>
            <w:pPr>
              <w:spacing w:line="440" w:lineRule="exact"/>
              <w:jc w:val="left"/>
              <w:rPr>
                <w:rFonts w:ascii="宋体"/>
                <w:sz w:val="24"/>
              </w:rPr>
            </w:pPr>
          </w:p>
        </w:tc>
      </w:tr>
    </w:tbl>
    <w:p>
      <w:pPr>
        <w:rPr>
          <w:rFonts w:ascii="仿宋" w:hAnsi="仿宋" w:eastAsia="仿宋" w:cs="仿宋"/>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r>
        <w:rPr>
          <w:rFonts w:hint="eastAsia" w:ascii="仿宋" w:hAnsi="仿宋" w:eastAsia="仿宋" w:cs="仿宋"/>
          <w:b/>
          <w:bCs/>
          <w:sz w:val="30"/>
        </w:rPr>
        <w:t>单元教学进度</w:t>
      </w:r>
    </w:p>
    <w:tbl>
      <w:tblPr>
        <w:tblStyle w:val="4"/>
        <w:tblW w:w="1008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980"/>
        <w:gridCol w:w="3420"/>
        <w:gridCol w:w="30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步骤</w:t>
            </w:r>
          </w:p>
        </w:tc>
        <w:tc>
          <w:tcPr>
            <w:tcW w:w="198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教学内容及能力</w:t>
            </w:r>
            <w:r>
              <w:rPr>
                <w:rFonts w:ascii="仿宋" w:hAnsi="仿宋" w:eastAsia="仿宋" w:cs="仿宋"/>
                <w:b/>
                <w:sz w:val="28"/>
                <w:szCs w:val="28"/>
              </w:rPr>
              <w:t>/</w:t>
            </w:r>
            <w:r>
              <w:rPr>
                <w:rFonts w:hint="eastAsia" w:ascii="仿宋" w:hAnsi="仿宋" w:eastAsia="仿宋" w:cs="仿宋"/>
                <w:b/>
                <w:sz w:val="28"/>
                <w:szCs w:val="28"/>
              </w:rPr>
              <w:t>知识目标</w:t>
            </w:r>
          </w:p>
        </w:tc>
        <w:tc>
          <w:tcPr>
            <w:tcW w:w="342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教师活动</w:t>
            </w:r>
          </w:p>
        </w:tc>
        <w:tc>
          <w:tcPr>
            <w:tcW w:w="306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学生活动</w:t>
            </w:r>
          </w:p>
        </w:tc>
        <w:tc>
          <w:tcPr>
            <w:tcW w:w="1080" w:type="dxa"/>
            <w:vAlign w:val="center"/>
          </w:tcPr>
          <w:p>
            <w:pPr>
              <w:spacing w:line="320" w:lineRule="exact"/>
              <w:jc w:val="center"/>
              <w:rPr>
                <w:rFonts w:ascii="仿宋" w:hAnsi="仿宋" w:eastAsia="仿宋" w:cs="仿宋"/>
                <w:b/>
                <w:sz w:val="24"/>
              </w:rPr>
            </w:pPr>
            <w:r>
              <w:rPr>
                <w:rFonts w:hint="eastAsia" w:ascii="仿宋" w:hAnsi="仿宋" w:eastAsia="仿宋" w:cs="仿宋"/>
                <w:b/>
                <w:sz w:val="24"/>
              </w:rPr>
              <w:t>时间</w:t>
            </w:r>
          </w:p>
          <w:p>
            <w:pPr>
              <w:spacing w:line="320" w:lineRule="exact"/>
              <w:jc w:val="center"/>
              <w:rPr>
                <w:rFonts w:ascii="仿宋" w:hAnsi="仿宋" w:eastAsia="仿宋" w:cs="仿宋"/>
                <w:b/>
                <w:sz w:val="24"/>
              </w:rPr>
            </w:pPr>
            <w:r>
              <w:rPr>
                <w:rFonts w:hint="eastAsia" w:ascii="仿宋" w:hAnsi="仿宋" w:eastAsia="仿宋" w:cs="仿宋"/>
                <w:b/>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课前</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复习上节课内容，简单了解管理仓储成本的知识</w:t>
            </w:r>
          </w:p>
        </w:tc>
        <w:tc>
          <w:tcPr>
            <w:tcW w:w="3420" w:type="dxa"/>
            <w:vAlign w:val="center"/>
          </w:tcPr>
          <w:p>
            <w:pPr>
              <w:spacing w:line="320" w:lineRule="exact"/>
              <w:rPr>
                <w:rFonts w:ascii="宋体" w:cs="仿宋"/>
                <w:sz w:val="24"/>
              </w:rPr>
            </w:pPr>
            <w:r>
              <w:rPr>
                <w:rFonts w:hint="eastAsia" w:ascii="宋体" w:hAnsi="宋体" w:cs="仿宋"/>
                <w:sz w:val="24"/>
              </w:rPr>
              <w:t>介绍课程目标和主要内容框架</w:t>
            </w:r>
          </w:p>
        </w:tc>
        <w:tc>
          <w:tcPr>
            <w:tcW w:w="3060" w:type="dxa"/>
            <w:vAlign w:val="center"/>
          </w:tcPr>
          <w:p>
            <w:pPr>
              <w:spacing w:line="320" w:lineRule="exact"/>
              <w:rPr>
                <w:rFonts w:ascii="宋体" w:cs="仿宋"/>
                <w:sz w:val="24"/>
              </w:rPr>
            </w:pPr>
            <w:r>
              <w:rPr>
                <w:rFonts w:hint="eastAsia" w:ascii="宋体" w:hAnsi="宋体" w:cs="仿宋"/>
                <w:sz w:val="24"/>
              </w:rPr>
              <w:t>课前了解课程内容</w:t>
            </w:r>
          </w:p>
        </w:tc>
        <w:tc>
          <w:tcPr>
            <w:tcW w:w="1080" w:type="dxa"/>
            <w:vMerge w:val="restart"/>
            <w:vAlign w:val="center"/>
          </w:tcPr>
          <w:p>
            <w:pPr>
              <w:spacing w:line="320" w:lineRule="exact"/>
              <w:jc w:val="center"/>
              <w:rPr>
                <w:rFonts w:ascii="宋体" w:cs="仿宋"/>
                <w:sz w:val="24"/>
              </w:rPr>
            </w:pPr>
            <w:r>
              <w:rPr>
                <w:rFonts w:ascii="宋体" w:hAnsi="宋体"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案例引入，使同学们对本节课的学习内容有所了解</w:t>
            </w:r>
          </w:p>
        </w:tc>
        <w:tc>
          <w:tcPr>
            <w:tcW w:w="3060" w:type="dxa"/>
            <w:vAlign w:val="center"/>
          </w:tcPr>
          <w:p>
            <w:pPr>
              <w:spacing w:line="320" w:lineRule="exact"/>
              <w:rPr>
                <w:rFonts w:ascii="宋体" w:cs="仿宋"/>
                <w:sz w:val="24"/>
              </w:rPr>
            </w:pPr>
            <w:r>
              <w:rPr>
                <w:rFonts w:hint="eastAsia" w:ascii="宋体" w:hAnsi="宋体" w:cs="仿宋"/>
                <w:sz w:val="24"/>
              </w:rPr>
              <w:t>阅读案例，分析案例</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介绍本堂课的学习目标和重点难点</w:t>
            </w:r>
          </w:p>
        </w:tc>
        <w:tc>
          <w:tcPr>
            <w:tcW w:w="3060" w:type="dxa"/>
            <w:vAlign w:val="center"/>
          </w:tcPr>
          <w:p>
            <w:pPr>
              <w:spacing w:line="320" w:lineRule="exact"/>
              <w:rPr>
                <w:rFonts w:ascii="宋体" w:cs="仿宋"/>
                <w:sz w:val="24"/>
              </w:rPr>
            </w:pPr>
            <w:r>
              <w:rPr>
                <w:rFonts w:hint="eastAsia" w:ascii="宋体" w:hAnsi="宋体" w:cs="仿宋"/>
                <w:sz w:val="24"/>
              </w:rPr>
              <w:t>根据学习目标展开学习</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b/>
                <w:bCs/>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介绍学习任务</w:t>
            </w:r>
          </w:p>
        </w:tc>
        <w:tc>
          <w:tcPr>
            <w:tcW w:w="3060" w:type="dxa"/>
            <w:vAlign w:val="center"/>
          </w:tcPr>
          <w:p>
            <w:pPr>
              <w:spacing w:line="320" w:lineRule="exact"/>
              <w:rPr>
                <w:rFonts w:ascii="宋体" w:cs="仿宋"/>
                <w:sz w:val="24"/>
              </w:rPr>
            </w:pPr>
            <w:r>
              <w:rPr>
                <w:rFonts w:hint="eastAsia" w:ascii="宋体" w:hAnsi="宋体" w:cs="仿宋"/>
                <w:sz w:val="24"/>
              </w:rPr>
              <w:t>准备接受任务</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hAnsi="宋体" w:cs="仿宋"/>
                <w:sz w:val="24"/>
              </w:rPr>
            </w:pPr>
            <w:r>
              <w:rPr>
                <w:rFonts w:hint="eastAsia" w:ascii="宋体" w:hAnsi="宋体" w:cs="仿宋"/>
                <w:sz w:val="24"/>
              </w:rPr>
              <w:t>任务</w:t>
            </w:r>
            <w:r>
              <w:rPr>
                <w:rFonts w:ascii="宋体" w:hAnsi="宋体" w:cs="仿宋"/>
                <w:sz w:val="24"/>
              </w:rPr>
              <w:t>1</w:t>
            </w:r>
          </w:p>
        </w:tc>
        <w:tc>
          <w:tcPr>
            <w:tcW w:w="1980" w:type="dxa"/>
            <w:vMerge w:val="restart"/>
            <w:vAlign w:val="center"/>
          </w:tcPr>
          <w:p>
            <w:pPr>
              <w:spacing w:line="320" w:lineRule="exact"/>
              <w:jc w:val="center"/>
              <w:rPr>
                <w:rFonts w:ascii="宋体" w:cs="仿宋"/>
                <w:color w:val="000000"/>
                <w:kern w:val="0"/>
                <w:sz w:val="24"/>
              </w:rPr>
            </w:pPr>
            <w:r>
              <w:rPr>
                <w:rFonts w:hint="eastAsia" w:ascii="宋体" w:hAnsi="宋体" w:cs="仿宋"/>
                <w:color w:val="000000"/>
                <w:kern w:val="0"/>
                <w:sz w:val="24"/>
              </w:rPr>
              <w:t>熟悉学习的知识点；掌握重点</w:t>
            </w:r>
          </w:p>
          <w:p>
            <w:pPr>
              <w:spacing w:line="320" w:lineRule="exact"/>
              <w:jc w:val="center"/>
              <w:rPr>
                <w:rFonts w:ascii="宋体" w:cs="仿宋"/>
                <w:color w:val="000000"/>
                <w:kern w:val="0"/>
                <w:sz w:val="24"/>
              </w:rPr>
            </w:pPr>
            <w:r>
              <w:rPr>
                <w:rFonts w:hint="eastAsia" w:ascii="宋体" w:hAnsi="宋体" w:cs="仿宋"/>
                <w:color w:val="000000"/>
                <w:kern w:val="0"/>
                <w:sz w:val="24"/>
              </w:rPr>
              <w:t>难点</w:t>
            </w:r>
          </w:p>
          <w:p>
            <w:pPr>
              <w:spacing w:line="320" w:lineRule="exact"/>
              <w:jc w:val="center"/>
              <w:rPr>
                <w:rFonts w:ascii="宋体" w:cs="仿宋"/>
                <w:sz w:val="24"/>
              </w:rPr>
            </w:pPr>
          </w:p>
        </w:tc>
        <w:tc>
          <w:tcPr>
            <w:tcW w:w="3420" w:type="dxa"/>
            <w:vAlign w:val="center"/>
          </w:tcPr>
          <w:p>
            <w:pPr>
              <w:spacing w:line="320" w:lineRule="exact"/>
              <w:rPr>
                <w:rFonts w:ascii="宋体" w:hAnsi="宋体" w:cs="仿宋"/>
                <w:sz w:val="24"/>
              </w:rPr>
            </w:pPr>
            <w:r>
              <w:rPr>
                <w:rFonts w:hint="eastAsia" w:ascii="宋体" w:hAnsi="宋体" w:cs="仿宋"/>
                <w:sz w:val="24"/>
              </w:rPr>
              <w:t>教师给出任务</w:t>
            </w:r>
            <w:r>
              <w:rPr>
                <w:rFonts w:ascii="宋体" w:hAnsi="宋体" w:cs="仿宋"/>
                <w:sz w:val="24"/>
              </w:rPr>
              <w:t>1</w:t>
            </w:r>
          </w:p>
        </w:tc>
        <w:tc>
          <w:tcPr>
            <w:tcW w:w="3060" w:type="dxa"/>
            <w:vAlign w:val="center"/>
          </w:tcPr>
          <w:p>
            <w:pPr>
              <w:spacing w:line="320" w:lineRule="exact"/>
              <w:rPr>
                <w:rFonts w:ascii="宋体" w:cs="仿宋"/>
                <w:sz w:val="24"/>
              </w:rPr>
            </w:pPr>
            <w:r>
              <w:rPr>
                <w:rFonts w:hint="eastAsia" w:ascii="宋体" w:hAnsi="宋体" w:cs="仿宋"/>
                <w:sz w:val="24"/>
              </w:rPr>
              <w:t>学生细读任务</w:t>
            </w:r>
            <w:r>
              <w:rPr>
                <w:rFonts w:ascii="宋体" w:hAnsi="宋体" w:cs="仿宋"/>
                <w:sz w:val="24"/>
              </w:rPr>
              <w:t>1</w:t>
            </w:r>
            <w:r>
              <w:rPr>
                <w:rFonts w:hint="eastAsia" w:ascii="宋体" w:hAnsi="宋体" w:cs="仿宋"/>
                <w:sz w:val="24"/>
              </w:rPr>
              <w:t>，领会任务要求</w:t>
            </w:r>
          </w:p>
        </w:tc>
        <w:tc>
          <w:tcPr>
            <w:tcW w:w="1080" w:type="dxa"/>
            <w:vMerge w:val="restart"/>
            <w:vAlign w:val="center"/>
          </w:tcPr>
          <w:p>
            <w:pPr>
              <w:spacing w:line="320" w:lineRule="exact"/>
              <w:jc w:val="center"/>
              <w:rPr>
                <w:rFonts w:ascii="宋体" w:hAnsi="宋体" w:cs="仿宋"/>
                <w:sz w:val="24"/>
              </w:rPr>
            </w:pPr>
            <w:r>
              <w:rPr>
                <w:rFonts w:ascii="宋体" w:hAnsi="宋体" w:cs="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b/>
                <w:bCs/>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讲解重点难点</w:t>
            </w:r>
          </w:p>
        </w:tc>
        <w:tc>
          <w:tcPr>
            <w:tcW w:w="3060" w:type="dxa"/>
            <w:vAlign w:val="center"/>
          </w:tcPr>
          <w:p>
            <w:pPr>
              <w:spacing w:line="320" w:lineRule="exact"/>
              <w:rPr>
                <w:rFonts w:ascii="宋体" w:cs="仿宋"/>
                <w:sz w:val="24"/>
              </w:rPr>
            </w:pPr>
            <w:r>
              <w:rPr>
                <w:rFonts w:hint="eastAsia" w:ascii="宋体" w:hAnsi="宋体" w:cs="仿宋"/>
                <w:sz w:val="24"/>
              </w:rPr>
              <w:t>掌握重点难点</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p>
          <w:p>
            <w:pPr>
              <w:spacing w:line="320" w:lineRule="exact"/>
              <w:jc w:val="center"/>
              <w:rPr>
                <w:rFonts w:ascii="宋体" w:cs="仿宋"/>
                <w:b/>
                <w:bCs/>
                <w:sz w:val="24"/>
              </w:rPr>
            </w:pPr>
            <w:r>
              <w:rPr>
                <w:rFonts w:hint="eastAsia" w:ascii="宋体" w:hAnsi="宋体" w:cs="仿宋"/>
                <w:sz w:val="24"/>
              </w:rPr>
              <w:t>任务</w:t>
            </w:r>
            <w:r>
              <w:rPr>
                <w:rFonts w:ascii="宋体" w:hAnsi="宋体" w:cs="仿宋"/>
                <w:sz w:val="24"/>
              </w:rPr>
              <w:t>2</w:t>
            </w:r>
          </w:p>
        </w:tc>
        <w:tc>
          <w:tcPr>
            <w:tcW w:w="1980" w:type="dxa"/>
            <w:vMerge w:val="restart"/>
            <w:vAlign w:val="center"/>
          </w:tcPr>
          <w:p>
            <w:pPr>
              <w:spacing w:line="320" w:lineRule="exact"/>
              <w:jc w:val="center"/>
              <w:rPr>
                <w:rFonts w:ascii="宋体" w:cs="仿宋"/>
                <w:sz w:val="24"/>
              </w:rPr>
            </w:pPr>
            <w:r>
              <w:rPr>
                <w:rFonts w:hint="eastAsia" w:ascii="宋体" w:hAnsi="宋体" w:cs="仿宋"/>
                <w:color w:val="000000"/>
                <w:kern w:val="0"/>
                <w:sz w:val="24"/>
              </w:rPr>
              <w:t>在练习中应用所学内容</w:t>
            </w:r>
          </w:p>
        </w:tc>
        <w:tc>
          <w:tcPr>
            <w:tcW w:w="3420" w:type="dxa"/>
            <w:vAlign w:val="center"/>
          </w:tcPr>
          <w:p>
            <w:pPr>
              <w:spacing w:line="320" w:lineRule="exact"/>
              <w:rPr>
                <w:rFonts w:ascii="宋体" w:hAnsi="宋体" w:cs="仿宋"/>
                <w:sz w:val="24"/>
              </w:rPr>
            </w:pPr>
            <w:r>
              <w:rPr>
                <w:rFonts w:hint="eastAsia" w:ascii="宋体" w:hAnsi="宋体" w:cs="仿宋"/>
                <w:sz w:val="24"/>
              </w:rPr>
              <w:t>教师给出任务</w:t>
            </w:r>
            <w:r>
              <w:rPr>
                <w:rFonts w:ascii="宋体" w:hAnsi="宋体" w:cs="仿宋"/>
                <w:sz w:val="24"/>
              </w:rPr>
              <w:t>2</w:t>
            </w:r>
          </w:p>
        </w:tc>
        <w:tc>
          <w:tcPr>
            <w:tcW w:w="3060" w:type="dxa"/>
            <w:vAlign w:val="center"/>
          </w:tcPr>
          <w:p>
            <w:pPr>
              <w:spacing w:line="320" w:lineRule="exact"/>
              <w:rPr>
                <w:rFonts w:ascii="宋体" w:cs="仿宋"/>
                <w:sz w:val="24"/>
              </w:rPr>
            </w:pPr>
            <w:r>
              <w:rPr>
                <w:rFonts w:hint="eastAsia" w:ascii="宋体" w:hAnsi="宋体" w:cs="仿宋"/>
                <w:sz w:val="24"/>
              </w:rPr>
              <w:t>学生细读任务</w:t>
            </w:r>
            <w:r>
              <w:rPr>
                <w:rFonts w:ascii="宋体" w:hAnsi="宋体" w:cs="仿宋"/>
                <w:sz w:val="24"/>
              </w:rPr>
              <w:t>2</w:t>
            </w:r>
            <w:r>
              <w:rPr>
                <w:rFonts w:hint="eastAsia" w:ascii="宋体" w:hAnsi="宋体" w:cs="仿宋"/>
                <w:sz w:val="24"/>
              </w:rPr>
              <w:t>，领会任务要求</w:t>
            </w:r>
          </w:p>
        </w:tc>
        <w:tc>
          <w:tcPr>
            <w:tcW w:w="1080" w:type="dxa"/>
            <w:vMerge w:val="restart"/>
            <w:vAlign w:val="center"/>
          </w:tcPr>
          <w:p>
            <w:pPr>
              <w:spacing w:line="320" w:lineRule="exact"/>
              <w:jc w:val="center"/>
              <w:rPr>
                <w:rFonts w:ascii="宋体" w:hAnsi="宋体" w:cs="仿宋"/>
                <w:sz w:val="24"/>
              </w:rPr>
            </w:pPr>
            <w:r>
              <w:rPr>
                <w:rFonts w:ascii="宋体" w:hAnsi="宋体" w:cs="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引导学生完成任务，并在任务完成过程中予以指导</w:t>
            </w:r>
          </w:p>
        </w:tc>
        <w:tc>
          <w:tcPr>
            <w:tcW w:w="3060" w:type="dxa"/>
            <w:vAlign w:val="center"/>
          </w:tcPr>
          <w:p>
            <w:pPr>
              <w:spacing w:line="320" w:lineRule="exact"/>
              <w:rPr>
                <w:rFonts w:ascii="宋体" w:cs="仿宋"/>
                <w:sz w:val="24"/>
              </w:rPr>
            </w:pPr>
            <w:r>
              <w:rPr>
                <w:rFonts w:hint="eastAsia" w:ascii="宋体" w:hAnsi="宋体" w:cs="仿宋"/>
                <w:sz w:val="24"/>
              </w:rPr>
              <w:t>按照要求完成学习任务</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考核</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对本次任务的完成情况进行考核评价</w:t>
            </w:r>
          </w:p>
        </w:tc>
        <w:tc>
          <w:tcPr>
            <w:tcW w:w="3420" w:type="dxa"/>
            <w:vAlign w:val="center"/>
          </w:tcPr>
          <w:p>
            <w:pPr>
              <w:spacing w:line="320" w:lineRule="exact"/>
              <w:rPr>
                <w:rFonts w:ascii="宋体" w:cs="仿宋"/>
                <w:sz w:val="24"/>
              </w:rPr>
            </w:pPr>
            <w:r>
              <w:rPr>
                <w:rFonts w:hint="eastAsia" w:ascii="宋体" w:hAnsi="宋体" w:cs="仿宋"/>
                <w:sz w:val="24"/>
              </w:rPr>
              <w:t>师生共同评价任务的完成情况</w:t>
            </w:r>
          </w:p>
        </w:tc>
        <w:tc>
          <w:tcPr>
            <w:tcW w:w="3060" w:type="dxa"/>
            <w:vAlign w:val="center"/>
          </w:tcPr>
          <w:p>
            <w:pPr>
              <w:spacing w:line="320" w:lineRule="exact"/>
              <w:rPr>
                <w:rFonts w:ascii="宋体" w:cs="仿宋"/>
                <w:sz w:val="24"/>
              </w:rPr>
            </w:pPr>
            <w:r>
              <w:rPr>
                <w:rFonts w:hint="eastAsia" w:ascii="宋体" w:hAnsi="宋体" w:cs="仿宋"/>
                <w:sz w:val="24"/>
              </w:rPr>
              <w:t>学生通过讨论发现需要掌握的知识点</w:t>
            </w:r>
          </w:p>
        </w:tc>
        <w:tc>
          <w:tcPr>
            <w:tcW w:w="1080" w:type="dxa"/>
            <w:vMerge w:val="restart"/>
            <w:vAlign w:val="center"/>
          </w:tcPr>
          <w:p>
            <w:pPr>
              <w:spacing w:line="320" w:lineRule="exact"/>
              <w:jc w:val="center"/>
              <w:rPr>
                <w:rFonts w:ascii="宋体" w:cs="仿宋"/>
                <w:sz w:val="24"/>
              </w:rPr>
            </w:pPr>
            <w:r>
              <w:rPr>
                <w:rFonts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针对学生完成任务过程中的问题，教师指导、示范、答疑、纠错</w:t>
            </w:r>
          </w:p>
        </w:tc>
        <w:tc>
          <w:tcPr>
            <w:tcW w:w="3060" w:type="dxa"/>
            <w:vAlign w:val="center"/>
          </w:tcPr>
          <w:p>
            <w:pPr>
              <w:spacing w:line="320" w:lineRule="exact"/>
              <w:rPr>
                <w:rFonts w:ascii="宋体" w:cs="仿宋"/>
                <w:sz w:val="24"/>
              </w:rPr>
            </w:pPr>
            <w:r>
              <w:rPr>
                <w:rFonts w:hint="eastAsia" w:ascii="宋体" w:hAnsi="宋体" w:cs="仿宋"/>
                <w:sz w:val="24"/>
              </w:rPr>
              <w:t>学生在教师的指导下，发现并解决问题</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小结</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总结本单元</w:t>
            </w:r>
          </w:p>
          <w:p>
            <w:pPr>
              <w:spacing w:line="320" w:lineRule="exact"/>
              <w:jc w:val="center"/>
              <w:rPr>
                <w:rFonts w:ascii="宋体" w:cs="仿宋"/>
                <w:sz w:val="24"/>
              </w:rPr>
            </w:pPr>
            <w:r>
              <w:rPr>
                <w:rFonts w:hint="eastAsia" w:ascii="宋体" w:hAnsi="宋体" w:cs="仿宋"/>
                <w:sz w:val="24"/>
              </w:rPr>
              <w:t>知识点</w:t>
            </w:r>
          </w:p>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教师带领学生重新梳理知识点</w:t>
            </w:r>
          </w:p>
        </w:tc>
        <w:tc>
          <w:tcPr>
            <w:tcW w:w="3060" w:type="dxa"/>
            <w:vAlign w:val="center"/>
          </w:tcPr>
          <w:p>
            <w:pPr>
              <w:spacing w:line="320" w:lineRule="exact"/>
              <w:rPr>
                <w:rFonts w:ascii="宋体" w:cs="仿宋"/>
                <w:sz w:val="24"/>
              </w:rPr>
            </w:pPr>
            <w:r>
              <w:rPr>
                <w:rFonts w:hint="eastAsia" w:ascii="宋体" w:hAnsi="宋体" w:cs="仿宋"/>
                <w:sz w:val="24"/>
              </w:rPr>
              <w:t>教师引导下巩固知识点</w:t>
            </w:r>
          </w:p>
        </w:tc>
        <w:tc>
          <w:tcPr>
            <w:tcW w:w="1080" w:type="dxa"/>
            <w:vMerge w:val="restart"/>
            <w:vAlign w:val="center"/>
          </w:tcPr>
          <w:p>
            <w:pPr>
              <w:spacing w:line="320" w:lineRule="exact"/>
              <w:jc w:val="center"/>
              <w:rPr>
                <w:rFonts w:ascii="宋体" w:cs="仿宋"/>
                <w:sz w:val="24"/>
              </w:rPr>
            </w:pPr>
            <w:r>
              <w:rPr>
                <w:rFonts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rPr>
                <w:rFonts w:ascii="宋体" w:cs="仿宋"/>
                <w:sz w:val="24"/>
              </w:rPr>
            </w:pPr>
          </w:p>
        </w:tc>
        <w:tc>
          <w:tcPr>
            <w:tcW w:w="1980" w:type="dxa"/>
            <w:vMerge w:val="continue"/>
            <w:vAlign w:val="center"/>
          </w:tcPr>
          <w:p>
            <w:pPr>
              <w:spacing w:line="320" w:lineRule="exact"/>
              <w:ind w:firstLine="480" w:firstLineChars="200"/>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指出本单元学生存在的问题，并提出解决方法</w:t>
            </w:r>
          </w:p>
        </w:tc>
        <w:tc>
          <w:tcPr>
            <w:tcW w:w="3060" w:type="dxa"/>
            <w:vAlign w:val="center"/>
          </w:tcPr>
          <w:p>
            <w:pPr>
              <w:spacing w:line="320" w:lineRule="exact"/>
              <w:rPr>
                <w:rFonts w:ascii="宋体" w:cs="仿宋"/>
                <w:sz w:val="24"/>
              </w:rPr>
            </w:pPr>
            <w:r>
              <w:rPr>
                <w:rFonts w:hint="eastAsia" w:ascii="宋体" w:hAnsi="宋体" w:cs="仿宋"/>
                <w:sz w:val="24"/>
              </w:rPr>
              <w:t>发现并解决问题</w:t>
            </w:r>
          </w:p>
        </w:tc>
        <w:tc>
          <w:tcPr>
            <w:tcW w:w="1080" w:type="dxa"/>
            <w:vMerge w:val="continue"/>
            <w:vAlign w:val="center"/>
          </w:tcPr>
          <w:p>
            <w:pPr>
              <w:spacing w:line="320" w:lineRule="exact"/>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540" w:type="dxa"/>
            <w:vAlign w:val="center"/>
          </w:tcPr>
          <w:p>
            <w:pPr>
              <w:spacing w:line="320" w:lineRule="exact"/>
              <w:rPr>
                <w:rFonts w:ascii="宋体" w:cs="仿宋"/>
                <w:sz w:val="24"/>
              </w:rPr>
            </w:pPr>
            <w:r>
              <w:rPr>
                <w:rFonts w:hint="eastAsia" w:ascii="宋体" w:hAnsi="宋体" w:cs="仿宋"/>
                <w:sz w:val="24"/>
              </w:rPr>
              <w:t>作业</w:t>
            </w:r>
          </w:p>
        </w:tc>
        <w:tc>
          <w:tcPr>
            <w:tcW w:w="9540" w:type="dxa"/>
            <w:gridSpan w:val="4"/>
            <w:vAlign w:val="center"/>
          </w:tcPr>
          <w:p>
            <w:pPr>
              <w:widowControl/>
              <w:spacing w:line="320" w:lineRule="exact"/>
              <w:rPr>
                <w:rFonts w:ascii="宋体" w:cs="仿宋"/>
                <w:sz w:val="24"/>
              </w:rPr>
            </w:pPr>
            <w:r>
              <w:rPr>
                <w:rFonts w:hint="eastAsia" w:ascii="宋体" w:hAnsi="宋体" w:cs="仿宋"/>
                <w:sz w:val="24"/>
              </w:rPr>
              <w:t>扩展训练：（考核项目）</w:t>
            </w:r>
            <w:r>
              <w:rPr>
                <w:rFonts w:ascii="宋体" w:hAnsi="宋体" w:cs="仿宋"/>
                <w:sz w:val="24"/>
              </w:rPr>
              <w:t xml:space="preserve">       </w:t>
            </w:r>
            <w:r>
              <w:rPr>
                <w:rFonts w:hint="eastAsia" w:ascii="宋体" w:hAnsi="宋体" w:cs="仿宋"/>
                <w:sz w:val="24"/>
              </w:rPr>
              <w:t>教师给出类似任务，学生独立完成任务</w:t>
            </w:r>
            <w:r>
              <w:rPr>
                <w:rFonts w:ascii="宋体" w:hAnsi="宋体" w:cs="仿宋"/>
                <w:sz w:val="24"/>
              </w:rPr>
              <w:t xml:space="preserve">  </w:t>
            </w:r>
          </w:p>
        </w:tc>
      </w:tr>
    </w:tbl>
    <w:p>
      <w:pPr>
        <w:rPr>
          <w:rFonts w:ascii="仿宋" w:hAnsi="仿宋" w:eastAsia="仿宋" w:cs="仿宋"/>
        </w:rPr>
      </w:pPr>
    </w:p>
    <w:p>
      <w:pPr>
        <w:rPr>
          <w:rFonts w:ascii="仿宋" w:hAnsi="仿宋" w:eastAsia="仿宋" w:cs="仿宋"/>
          <w:b/>
          <w:bCs/>
          <w:sz w:val="30"/>
          <w:szCs w:val="30"/>
        </w:rPr>
      </w:pPr>
    </w:p>
    <w:p>
      <w:pPr>
        <w:rPr>
          <w:rFonts w:ascii="仿宋" w:hAnsi="仿宋" w:eastAsia="仿宋" w:cs="仿宋"/>
          <w:b/>
          <w:bCs/>
          <w:sz w:val="30"/>
          <w:szCs w:val="30"/>
        </w:rPr>
      </w:pPr>
      <w:r>
        <w:rPr>
          <w:rFonts w:hint="eastAsia" w:ascii="仿宋" w:hAnsi="仿宋" w:eastAsia="仿宋" w:cs="仿宋"/>
          <w:b/>
          <w:bCs/>
          <w:sz w:val="30"/>
          <w:szCs w:val="30"/>
        </w:rPr>
        <w:t>知识链接：</w:t>
      </w:r>
    </w:p>
    <w:p>
      <w:pPr>
        <w:adjustRightInd w:val="0"/>
        <w:snapToGrid w:val="0"/>
        <w:spacing w:line="360" w:lineRule="auto"/>
        <w:rPr>
          <w:sz w:val="24"/>
        </w:rPr>
      </w:pPr>
      <w:r>
        <w:rPr>
          <w:rFonts w:hint="eastAsia"/>
          <w:sz w:val="24"/>
        </w:rPr>
        <w:t>库存持有成本的影响因素</w:t>
      </w:r>
      <w:r>
        <w:rPr>
          <w:sz w:val="24"/>
        </w:rPr>
        <w:t xml:space="preserve"> </w:t>
      </w:r>
    </w:p>
    <w:p>
      <w:pPr>
        <w:adjustRightInd w:val="0"/>
        <w:snapToGrid w:val="0"/>
        <w:spacing w:line="360" w:lineRule="auto"/>
        <w:rPr>
          <w:sz w:val="24"/>
        </w:rPr>
      </w:pPr>
      <w:r>
        <w:rPr>
          <w:rFonts w:hint="eastAsia"/>
          <w:sz w:val="24"/>
        </w:rPr>
        <w:t>　　</w:t>
      </w:r>
      <w:r>
        <w:rPr>
          <w:sz w:val="24"/>
        </w:rPr>
        <w:t>1</w:t>
      </w:r>
      <w:r>
        <w:rPr>
          <w:rFonts w:hint="eastAsia"/>
          <w:sz w:val="24"/>
        </w:rPr>
        <w:t>、库存投资的机会成本率</w:t>
      </w:r>
      <w:r>
        <w:rPr>
          <w:sz w:val="24"/>
        </w:rPr>
        <w:t xml:space="preserve"> </w:t>
      </w:r>
    </w:p>
    <w:p>
      <w:pPr>
        <w:adjustRightInd w:val="0"/>
        <w:snapToGrid w:val="0"/>
        <w:spacing w:line="360" w:lineRule="auto"/>
        <w:rPr>
          <w:sz w:val="24"/>
        </w:rPr>
      </w:pPr>
      <w:r>
        <w:rPr>
          <w:rFonts w:hint="eastAsia"/>
          <w:sz w:val="24"/>
        </w:rPr>
        <w:t>　　这是影响库存持有成本的首要因素。</w:t>
      </w:r>
      <w:r>
        <w:rPr>
          <w:sz w:val="24"/>
        </w:rPr>
        <w:t xml:space="preserve"> </w:t>
      </w:r>
    </w:p>
    <w:p>
      <w:pPr>
        <w:adjustRightInd w:val="0"/>
        <w:snapToGrid w:val="0"/>
        <w:spacing w:line="360" w:lineRule="auto"/>
        <w:rPr>
          <w:sz w:val="24"/>
        </w:rPr>
      </w:pPr>
      <w:r>
        <w:rPr>
          <w:rFonts w:hint="eastAsia"/>
          <w:sz w:val="24"/>
        </w:rPr>
        <w:t>　　</w:t>
      </w:r>
      <w:r>
        <w:rPr>
          <w:sz w:val="24"/>
        </w:rPr>
        <w:t>2</w:t>
      </w:r>
      <w:r>
        <w:rPr>
          <w:rFonts w:hint="eastAsia"/>
          <w:sz w:val="24"/>
        </w:rPr>
        <w:t>、库存周转率</w:t>
      </w:r>
      <w:r>
        <w:rPr>
          <w:sz w:val="24"/>
        </w:rPr>
        <w:t xml:space="preserve"> </w:t>
      </w:r>
    </w:p>
    <w:p>
      <w:pPr>
        <w:adjustRightInd w:val="0"/>
        <w:snapToGrid w:val="0"/>
        <w:spacing w:line="360" w:lineRule="auto"/>
        <w:rPr>
          <w:sz w:val="24"/>
        </w:rPr>
      </w:pPr>
      <w:r>
        <w:rPr>
          <w:rFonts w:hint="eastAsia"/>
          <w:sz w:val="24"/>
        </w:rPr>
        <w:t>　　库存周转率也是影响库存持有成本的重要因素之一。</w:t>
      </w:r>
      <w:r>
        <w:rPr>
          <w:sz w:val="24"/>
        </w:rPr>
        <w:t xml:space="preserve"> </w:t>
      </w:r>
    </w:p>
    <w:p>
      <w:pPr>
        <w:adjustRightInd w:val="0"/>
        <w:snapToGrid w:val="0"/>
        <w:spacing w:line="360" w:lineRule="auto"/>
        <w:rPr>
          <w:sz w:val="24"/>
        </w:rPr>
      </w:pPr>
      <w:r>
        <w:rPr>
          <w:rFonts w:hint="eastAsia"/>
          <w:sz w:val="24"/>
        </w:rPr>
        <w:t>　　</w:t>
      </w:r>
      <w:r>
        <w:rPr>
          <w:sz w:val="24"/>
        </w:rPr>
        <w:t>3</w:t>
      </w:r>
      <w:r>
        <w:rPr>
          <w:rFonts w:hint="eastAsia"/>
          <w:sz w:val="24"/>
        </w:rPr>
        <w:t>、仓库的类型和存货水平的变动情况</w:t>
      </w:r>
      <w:r>
        <w:rPr>
          <w:sz w:val="24"/>
        </w:rPr>
        <w:t xml:space="preserve"> </w:t>
      </w:r>
    </w:p>
    <w:p>
      <w:pPr>
        <w:adjustRightInd w:val="0"/>
        <w:snapToGrid w:val="0"/>
        <w:spacing w:line="360" w:lineRule="auto"/>
        <w:rPr>
          <w:sz w:val="24"/>
        </w:rPr>
      </w:pPr>
      <w:r>
        <w:rPr>
          <w:rFonts w:hint="eastAsia"/>
          <w:sz w:val="24"/>
        </w:rPr>
        <w:t>　　库存所使用的仓库类型不同，其持有成本中空间成本也不一样。一般而言，库存水平变化越频繁，发生空间成本的概率就越大。</w:t>
      </w:r>
      <w:r>
        <w:rPr>
          <w:sz w:val="24"/>
        </w:rPr>
        <w:t xml:space="preserve"> </w:t>
      </w:r>
    </w:p>
    <w:p>
      <w:pPr>
        <w:adjustRightInd w:val="0"/>
        <w:snapToGrid w:val="0"/>
        <w:spacing w:line="360" w:lineRule="auto"/>
        <w:rPr>
          <w:sz w:val="24"/>
        </w:rPr>
      </w:pPr>
      <w:bookmarkStart w:id="0" w:name=".E5.BA.93.E5.AD.98.E6.8C.81.E6.9C.89.E6."/>
      <w:bookmarkEnd w:id="0"/>
      <w:r>
        <w:rPr>
          <w:rFonts w:hint="eastAsia"/>
          <w:sz w:val="24"/>
        </w:rPr>
        <w:t>建造、购买或租赁仓库等设施所带来的成本的构成与计算</w:t>
      </w:r>
    </w:p>
    <w:p>
      <w:pPr>
        <w:adjustRightInd w:val="0"/>
        <w:snapToGrid w:val="0"/>
        <w:spacing w:line="360" w:lineRule="auto"/>
        <w:rPr>
          <w:sz w:val="24"/>
        </w:rPr>
      </w:pPr>
      <w:r>
        <w:rPr>
          <w:sz w:val="24"/>
        </w:rPr>
        <w:t xml:space="preserve">1. </w:t>
      </w:r>
      <w:r>
        <w:rPr>
          <w:rFonts w:hint="eastAsia"/>
          <w:sz w:val="24"/>
        </w:rPr>
        <w:t>自有仓库</w:t>
      </w:r>
    </w:p>
    <w:p>
      <w:pPr>
        <w:adjustRightInd w:val="0"/>
        <w:snapToGrid w:val="0"/>
        <w:spacing w:line="360" w:lineRule="auto"/>
        <w:rPr>
          <w:sz w:val="24"/>
        </w:rPr>
      </w:pPr>
      <w:r>
        <w:rPr>
          <w:rFonts w:hint="eastAsia"/>
          <w:sz w:val="24"/>
        </w:rPr>
        <w:t>优点：</w:t>
      </w:r>
    </w:p>
    <w:p>
      <w:pPr>
        <w:adjustRightInd w:val="0"/>
        <w:snapToGrid w:val="0"/>
        <w:spacing w:line="360" w:lineRule="auto"/>
        <w:rPr>
          <w:sz w:val="24"/>
        </w:rPr>
      </w:pPr>
      <w:r>
        <w:rPr>
          <w:rFonts w:hint="eastAsia"/>
          <w:sz w:val="24"/>
        </w:rPr>
        <w:t>控制仓储</w:t>
      </w:r>
    </w:p>
    <w:p>
      <w:pPr>
        <w:adjustRightInd w:val="0"/>
        <w:snapToGrid w:val="0"/>
        <w:spacing w:line="360" w:lineRule="auto"/>
        <w:rPr>
          <w:sz w:val="24"/>
        </w:rPr>
      </w:pPr>
      <w:r>
        <w:rPr>
          <w:rFonts w:hint="eastAsia"/>
          <w:sz w:val="24"/>
        </w:rPr>
        <w:t>灵活性</w:t>
      </w:r>
    </w:p>
    <w:p>
      <w:pPr>
        <w:adjustRightInd w:val="0"/>
        <w:snapToGrid w:val="0"/>
        <w:spacing w:line="360" w:lineRule="auto"/>
        <w:rPr>
          <w:sz w:val="24"/>
        </w:rPr>
      </w:pPr>
      <w:r>
        <w:rPr>
          <w:rFonts w:hint="eastAsia"/>
          <w:sz w:val="24"/>
        </w:rPr>
        <w:t>长期仓储时，自有仓库的成本低于公关仓库</w:t>
      </w:r>
    </w:p>
    <w:p>
      <w:pPr>
        <w:adjustRightInd w:val="0"/>
        <w:snapToGrid w:val="0"/>
        <w:spacing w:line="360" w:lineRule="auto"/>
        <w:rPr>
          <w:sz w:val="24"/>
        </w:rPr>
      </w:pPr>
      <w:r>
        <w:rPr>
          <w:rFonts w:hint="eastAsia"/>
          <w:sz w:val="24"/>
        </w:rPr>
        <w:t>可以为企业树立良好形象</w:t>
      </w:r>
    </w:p>
    <w:p>
      <w:pPr>
        <w:adjustRightInd w:val="0"/>
        <w:snapToGrid w:val="0"/>
        <w:spacing w:line="360" w:lineRule="auto"/>
        <w:ind w:firstLine="480" w:firstLineChars="200"/>
        <w:rPr>
          <w:sz w:val="24"/>
        </w:rPr>
      </w:pPr>
      <w:r>
        <w:rPr>
          <w:rFonts w:hint="eastAsia"/>
          <w:sz w:val="24"/>
        </w:rPr>
        <w:t>当企业通过自有仓库的形式获得仓储空间时，企业的仓库等设施设备均属于企业的固定资产，因此必须对其计提折旧，同时企业自有仓库在各期的仓储成本应当通过计提折旧的形式来计算。</w:t>
      </w:r>
    </w:p>
    <w:p>
      <w:pPr>
        <w:adjustRightInd w:val="0"/>
        <w:snapToGrid w:val="0"/>
        <w:spacing w:line="360" w:lineRule="auto"/>
        <w:rPr>
          <w:sz w:val="24"/>
        </w:rPr>
      </w:pPr>
      <w:r>
        <w:rPr>
          <w:sz w:val="24"/>
        </w:rPr>
        <w:t>1</w:t>
      </w:r>
      <w:r>
        <w:rPr>
          <w:rFonts w:hint="eastAsia"/>
          <w:sz w:val="24"/>
        </w:rPr>
        <w:t>）影响仓库等设施设备折旧的因素</w:t>
      </w:r>
    </w:p>
    <w:p>
      <w:pPr>
        <w:adjustRightInd w:val="0"/>
        <w:snapToGrid w:val="0"/>
        <w:spacing w:line="360" w:lineRule="auto"/>
        <w:rPr>
          <w:sz w:val="24"/>
        </w:rPr>
      </w:pPr>
      <w:r>
        <w:rPr>
          <w:rFonts w:hint="eastAsia"/>
          <w:sz w:val="24"/>
        </w:rPr>
        <w:t>计提折旧的基数；</w:t>
      </w:r>
    </w:p>
    <w:p>
      <w:pPr>
        <w:adjustRightInd w:val="0"/>
        <w:snapToGrid w:val="0"/>
        <w:spacing w:line="360" w:lineRule="auto"/>
        <w:rPr>
          <w:sz w:val="24"/>
        </w:rPr>
      </w:pPr>
      <w:r>
        <w:rPr>
          <w:rFonts w:hint="eastAsia"/>
          <w:sz w:val="24"/>
        </w:rPr>
        <w:t>仓库等设施设备的使用年限；</w:t>
      </w:r>
    </w:p>
    <w:p>
      <w:pPr>
        <w:adjustRightInd w:val="0"/>
        <w:snapToGrid w:val="0"/>
        <w:spacing w:line="360" w:lineRule="auto"/>
        <w:rPr>
          <w:sz w:val="24"/>
        </w:rPr>
      </w:pPr>
      <w:r>
        <w:rPr>
          <w:rFonts w:hint="eastAsia"/>
          <w:sz w:val="24"/>
        </w:rPr>
        <w:t>仓库等设施设备的净残值；</w:t>
      </w:r>
    </w:p>
    <w:p>
      <w:pPr>
        <w:adjustRightInd w:val="0"/>
        <w:snapToGrid w:val="0"/>
        <w:spacing w:line="360" w:lineRule="auto"/>
        <w:rPr>
          <w:sz w:val="24"/>
        </w:rPr>
      </w:pPr>
      <w:r>
        <w:rPr>
          <w:sz w:val="24"/>
        </w:rPr>
        <w:t>2</w:t>
      </w:r>
      <w:r>
        <w:rPr>
          <w:rFonts w:hint="eastAsia"/>
          <w:sz w:val="24"/>
        </w:rPr>
        <w:t>）企业自有仓库等设施设备的折旧方法</w:t>
      </w:r>
    </w:p>
    <w:p>
      <w:pPr>
        <w:adjustRightInd w:val="0"/>
        <w:snapToGrid w:val="0"/>
        <w:spacing w:line="360" w:lineRule="auto"/>
        <w:rPr>
          <w:sz w:val="24"/>
        </w:rPr>
      </w:pPr>
      <w:r>
        <w:rPr>
          <w:rFonts w:hint="eastAsia"/>
          <w:sz w:val="24"/>
        </w:rPr>
        <w:t>直线法：平均年限法和工作量法；</w:t>
      </w:r>
    </w:p>
    <w:p>
      <w:pPr>
        <w:adjustRightInd w:val="0"/>
        <w:snapToGrid w:val="0"/>
        <w:spacing w:line="360" w:lineRule="auto"/>
        <w:rPr>
          <w:sz w:val="24"/>
        </w:rPr>
      </w:pPr>
      <w:r>
        <w:rPr>
          <w:rFonts w:hint="eastAsia"/>
          <w:sz w:val="24"/>
        </w:rPr>
        <w:t>加速折旧法：双倍余额递减法，年数总和法，余额递减法，递减折旧率法；</w:t>
      </w:r>
    </w:p>
    <w:p>
      <w:pPr>
        <w:adjustRightInd w:val="0"/>
        <w:snapToGrid w:val="0"/>
        <w:spacing w:line="360" w:lineRule="auto"/>
        <w:rPr>
          <w:sz w:val="24"/>
        </w:rPr>
      </w:pPr>
      <w:r>
        <w:rPr>
          <w:sz w:val="24"/>
        </w:rPr>
        <w:t>2.</w:t>
      </w:r>
      <w:r>
        <w:rPr>
          <w:rFonts w:hint="eastAsia"/>
          <w:sz w:val="24"/>
        </w:rPr>
        <w:t>租赁仓库</w:t>
      </w:r>
    </w:p>
    <w:p>
      <w:pPr>
        <w:adjustRightInd w:val="0"/>
        <w:snapToGrid w:val="0"/>
        <w:spacing w:line="360" w:lineRule="auto"/>
        <w:rPr>
          <w:sz w:val="24"/>
        </w:rPr>
      </w:pPr>
      <w:r>
        <w:rPr>
          <w:rFonts w:hint="eastAsia"/>
          <w:sz w:val="24"/>
        </w:rPr>
        <w:t>优点：从财务的角度上来看，租赁仓库可以使企业避免仓库的资本投资和财务风险；租赁仓库不要求企业对其设施和设备做任何投资，企业只需支付相对较少的租金即可得到仓储空间。</w:t>
      </w:r>
    </w:p>
    <w:p>
      <w:pPr>
        <w:adjustRightInd w:val="0"/>
        <w:snapToGrid w:val="0"/>
        <w:spacing w:line="360" w:lineRule="auto"/>
        <w:rPr>
          <w:sz w:val="24"/>
        </w:rPr>
      </w:pPr>
      <w:r>
        <w:rPr>
          <w:rFonts w:hint="eastAsia"/>
          <w:sz w:val="24"/>
        </w:rPr>
        <w:t>缺点：在一定租赁期内，租赁的仓储面积是一定的，不会随企业库存量的改变而改变。</w:t>
      </w:r>
    </w:p>
    <w:p>
      <w:pPr>
        <w:adjustRightInd w:val="0"/>
        <w:snapToGrid w:val="0"/>
        <w:spacing w:line="360" w:lineRule="auto"/>
        <w:rPr>
          <w:sz w:val="24"/>
        </w:rPr>
      </w:pPr>
      <w:r>
        <w:rPr>
          <w:sz w:val="24"/>
        </w:rPr>
        <w:t>3.</w:t>
      </w:r>
      <w:r>
        <w:rPr>
          <w:rFonts w:hint="eastAsia"/>
          <w:sz w:val="24"/>
        </w:rPr>
        <w:t>公共仓库</w:t>
      </w:r>
    </w:p>
    <w:p>
      <w:pPr>
        <w:adjustRightInd w:val="0"/>
        <w:snapToGrid w:val="0"/>
        <w:spacing w:line="360" w:lineRule="auto"/>
        <w:rPr>
          <w:sz w:val="24"/>
        </w:rPr>
      </w:pPr>
      <w:r>
        <w:rPr>
          <w:rFonts w:hint="eastAsia"/>
          <w:sz w:val="24"/>
        </w:rPr>
        <w:t>优点：</w:t>
      </w:r>
    </w:p>
    <w:p>
      <w:pPr>
        <w:adjustRightInd w:val="0"/>
        <w:snapToGrid w:val="0"/>
        <w:spacing w:line="360" w:lineRule="auto"/>
        <w:rPr>
          <w:sz w:val="24"/>
        </w:rPr>
      </w:pPr>
      <w:r>
        <w:rPr>
          <w:rFonts w:hint="eastAsia"/>
          <w:sz w:val="24"/>
        </w:rPr>
        <w:t>不需资本投资</w:t>
      </w:r>
    </w:p>
    <w:p>
      <w:pPr>
        <w:adjustRightInd w:val="0"/>
        <w:snapToGrid w:val="0"/>
        <w:spacing w:line="360" w:lineRule="auto"/>
        <w:rPr>
          <w:sz w:val="24"/>
        </w:rPr>
      </w:pPr>
      <w:r>
        <w:rPr>
          <w:rFonts w:hint="eastAsia"/>
          <w:sz w:val="24"/>
        </w:rPr>
        <w:t>满足企业在库存高峰时大量额外的仓储需求</w:t>
      </w:r>
    </w:p>
    <w:p>
      <w:pPr>
        <w:adjustRightInd w:val="0"/>
        <w:snapToGrid w:val="0"/>
        <w:spacing w:line="360" w:lineRule="auto"/>
        <w:rPr>
          <w:sz w:val="24"/>
        </w:rPr>
      </w:pPr>
      <w:r>
        <w:rPr>
          <w:rFonts w:hint="eastAsia"/>
          <w:sz w:val="24"/>
        </w:rPr>
        <w:t>避免管理上的困难</w:t>
      </w:r>
    </w:p>
    <w:p>
      <w:pPr>
        <w:adjustRightInd w:val="0"/>
        <w:snapToGrid w:val="0"/>
        <w:spacing w:line="360" w:lineRule="auto"/>
        <w:rPr>
          <w:sz w:val="24"/>
        </w:rPr>
      </w:pPr>
      <w:r>
        <w:rPr>
          <w:rFonts w:hint="eastAsia"/>
          <w:sz w:val="24"/>
        </w:rPr>
        <w:t>降低企业的仓储、运输成本</w:t>
      </w:r>
    </w:p>
    <w:p>
      <w:pPr>
        <w:adjustRightInd w:val="0"/>
        <w:snapToGrid w:val="0"/>
        <w:spacing w:line="360" w:lineRule="auto"/>
        <w:rPr>
          <w:sz w:val="24"/>
        </w:rPr>
      </w:pPr>
      <w:r>
        <w:rPr>
          <w:rFonts w:hint="eastAsia"/>
          <w:sz w:val="24"/>
        </w:rPr>
        <w:t>经营活动更加灵活</w:t>
      </w:r>
    </w:p>
    <w:p>
      <w:pPr>
        <w:adjustRightInd w:val="0"/>
        <w:snapToGrid w:val="0"/>
        <w:spacing w:line="360" w:lineRule="auto"/>
        <w:rPr>
          <w:sz w:val="24"/>
        </w:rPr>
      </w:pPr>
      <w:r>
        <w:rPr>
          <w:rFonts w:hint="eastAsia"/>
          <w:sz w:val="24"/>
        </w:rPr>
        <w:t>便于企业账务物流成本</w:t>
      </w:r>
    </w:p>
    <w:p>
      <w:pPr>
        <w:adjustRightInd w:val="0"/>
        <w:snapToGrid w:val="0"/>
        <w:spacing w:line="360" w:lineRule="auto"/>
        <w:rPr>
          <w:sz w:val="24"/>
        </w:rPr>
      </w:pPr>
      <w:r>
        <w:rPr>
          <w:rFonts w:hint="eastAsia"/>
          <w:sz w:val="24"/>
        </w:rPr>
        <w:t>缺点</w:t>
      </w:r>
    </w:p>
    <w:p>
      <w:pPr>
        <w:adjustRightInd w:val="0"/>
        <w:snapToGrid w:val="0"/>
        <w:spacing w:line="360" w:lineRule="auto"/>
        <w:rPr>
          <w:sz w:val="24"/>
        </w:rPr>
      </w:pPr>
      <w:r>
        <w:rPr>
          <w:rFonts w:hint="eastAsia"/>
          <w:sz w:val="24"/>
        </w:rPr>
        <w:t>增加包装成本；</w:t>
      </w:r>
    </w:p>
    <w:p>
      <w:pPr>
        <w:adjustRightInd w:val="0"/>
        <w:snapToGrid w:val="0"/>
        <w:spacing w:line="360" w:lineRule="auto"/>
        <w:rPr>
          <w:sz w:val="24"/>
        </w:rPr>
      </w:pPr>
      <w:r>
        <w:rPr>
          <w:rFonts w:hint="eastAsia"/>
          <w:sz w:val="24"/>
        </w:rPr>
        <w:t>增加了企业控制库存的难度。</w:t>
      </w:r>
    </w:p>
    <w:p>
      <w:pPr>
        <w:adjustRightInd w:val="0"/>
        <w:snapToGrid w:val="0"/>
        <w:spacing w:line="360" w:lineRule="auto"/>
        <w:rPr>
          <w:sz w:val="24"/>
        </w:rPr>
      </w:pPr>
      <w:r>
        <w:rPr>
          <w:rFonts w:hint="eastAsia"/>
          <w:sz w:val="24"/>
        </w:rPr>
        <w:t>公共仓库的收费</w:t>
      </w:r>
    </w:p>
    <w:p>
      <w:pPr>
        <w:adjustRightInd w:val="0"/>
        <w:snapToGrid w:val="0"/>
        <w:spacing w:line="360" w:lineRule="auto"/>
        <w:rPr>
          <w:sz w:val="24"/>
        </w:rPr>
      </w:pPr>
      <w:r>
        <w:rPr>
          <w:rFonts w:hint="eastAsia"/>
          <w:sz w:val="24"/>
        </w:rPr>
        <w:t>收费的高低取决于：</w:t>
      </w:r>
    </w:p>
    <w:p>
      <w:pPr>
        <w:adjustRightInd w:val="0"/>
        <w:snapToGrid w:val="0"/>
        <w:spacing w:line="360" w:lineRule="auto"/>
        <w:rPr>
          <w:sz w:val="24"/>
        </w:rPr>
      </w:pPr>
      <w:r>
        <w:rPr>
          <w:rFonts w:hint="eastAsia"/>
          <w:sz w:val="24"/>
        </w:rPr>
        <w:t>所需仓储空间的大小与期限</w:t>
      </w:r>
    </w:p>
    <w:p>
      <w:pPr>
        <w:adjustRightInd w:val="0"/>
        <w:snapToGrid w:val="0"/>
        <w:spacing w:line="360" w:lineRule="auto"/>
        <w:rPr>
          <w:sz w:val="24"/>
        </w:rPr>
      </w:pPr>
      <w:r>
        <w:rPr>
          <w:rFonts w:hint="eastAsia"/>
          <w:sz w:val="24"/>
        </w:rPr>
        <w:t>储存产品的种类数</w:t>
      </w:r>
    </w:p>
    <w:p>
      <w:pPr>
        <w:adjustRightInd w:val="0"/>
        <w:snapToGrid w:val="0"/>
        <w:spacing w:line="360" w:lineRule="auto"/>
        <w:rPr>
          <w:sz w:val="24"/>
        </w:rPr>
      </w:pPr>
      <w:r>
        <w:rPr>
          <w:rFonts w:hint="eastAsia"/>
          <w:sz w:val="24"/>
        </w:rPr>
        <w:t>产品储存时有无特殊要求或限制</w:t>
      </w:r>
    </w:p>
    <w:p>
      <w:pPr>
        <w:adjustRightInd w:val="0"/>
        <w:snapToGrid w:val="0"/>
        <w:spacing w:line="360" w:lineRule="auto"/>
        <w:rPr>
          <w:sz w:val="24"/>
        </w:rPr>
      </w:pPr>
      <w:r>
        <w:rPr>
          <w:rFonts w:hint="eastAsia"/>
          <w:sz w:val="24"/>
        </w:rPr>
        <w:t>搬运等仓储作业的强度</w:t>
      </w:r>
    </w:p>
    <w:p>
      <w:pPr>
        <w:adjustRightInd w:val="0"/>
        <w:snapToGrid w:val="0"/>
        <w:spacing w:line="360" w:lineRule="auto"/>
        <w:rPr>
          <w:sz w:val="24"/>
        </w:rPr>
      </w:pPr>
      <w:r>
        <w:rPr>
          <w:rFonts w:hint="eastAsia"/>
          <w:sz w:val="24"/>
        </w:rPr>
        <w:t>订单的平均规模</w:t>
      </w:r>
    </w:p>
    <w:p>
      <w:pPr>
        <w:adjustRightInd w:val="0"/>
        <w:snapToGrid w:val="0"/>
        <w:spacing w:line="360" w:lineRule="auto"/>
        <w:rPr>
          <w:sz w:val="24"/>
        </w:rPr>
      </w:pPr>
      <w:r>
        <w:rPr>
          <w:rFonts w:hint="eastAsia"/>
          <w:sz w:val="24"/>
        </w:rPr>
        <w:t>所需文字记录工作的工作量</w:t>
      </w:r>
    </w:p>
    <w:p>
      <w:pPr>
        <w:adjustRightInd w:val="0"/>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lbertus">
    <w:altName w:val="Trebuchet MS"/>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hjZjdkNjIyZmY4MGYyMGVjMzk4NWZmMjhlMTMwNTYifQ=="/>
  </w:docVars>
  <w:rsids>
    <w:rsidRoot w:val="00C82C91"/>
    <w:rsid w:val="00035538"/>
    <w:rsid w:val="00047014"/>
    <w:rsid w:val="000613A0"/>
    <w:rsid w:val="00092F69"/>
    <w:rsid w:val="000B7D82"/>
    <w:rsid w:val="000F10FB"/>
    <w:rsid w:val="001044E1"/>
    <w:rsid w:val="00137333"/>
    <w:rsid w:val="0015700B"/>
    <w:rsid w:val="001C5291"/>
    <w:rsid w:val="0021058B"/>
    <w:rsid w:val="00216A1A"/>
    <w:rsid w:val="002E4EC9"/>
    <w:rsid w:val="002F3FCE"/>
    <w:rsid w:val="003B26DB"/>
    <w:rsid w:val="0040007E"/>
    <w:rsid w:val="004607C9"/>
    <w:rsid w:val="004E5BED"/>
    <w:rsid w:val="00616EA1"/>
    <w:rsid w:val="00667876"/>
    <w:rsid w:val="006824AA"/>
    <w:rsid w:val="006D3A21"/>
    <w:rsid w:val="006D4840"/>
    <w:rsid w:val="006E54CA"/>
    <w:rsid w:val="00831414"/>
    <w:rsid w:val="0091274A"/>
    <w:rsid w:val="00916CFB"/>
    <w:rsid w:val="009E3B09"/>
    <w:rsid w:val="00BB5C22"/>
    <w:rsid w:val="00BD7FC4"/>
    <w:rsid w:val="00BE5126"/>
    <w:rsid w:val="00BF22EE"/>
    <w:rsid w:val="00C00F2B"/>
    <w:rsid w:val="00C82C91"/>
    <w:rsid w:val="00E123F8"/>
    <w:rsid w:val="00E54BAB"/>
    <w:rsid w:val="00E56A28"/>
    <w:rsid w:val="00E72BAC"/>
    <w:rsid w:val="00F03BCF"/>
    <w:rsid w:val="00F3161B"/>
    <w:rsid w:val="00F70DB2"/>
    <w:rsid w:val="00FD6D56"/>
    <w:rsid w:val="0E2E4BF9"/>
    <w:rsid w:val="16CA4603"/>
    <w:rsid w:val="4DB02334"/>
    <w:rsid w:val="54866462"/>
    <w:rsid w:val="55C3501C"/>
    <w:rsid w:val="5CB82B13"/>
    <w:rsid w:val="5D774A84"/>
    <w:rsid w:val="5D8A50C6"/>
    <w:rsid w:val="6B0136F0"/>
    <w:rsid w:val="7518030A"/>
    <w:rsid w:val="7EFC3F32"/>
    <w:rsid w:val="7F8B6B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9"/>
    <w:basedOn w:val="1"/>
    <w:next w:val="1"/>
    <w:link w:val="7"/>
    <w:qFormat/>
    <w:uiPriority w:val="99"/>
    <w:pPr>
      <w:keepNext/>
      <w:jc w:val="center"/>
      <w:outlineLvl w:val="8"/>
    </w:pPr>
    <w:rPr>
      <w:rFonts w:ascii="Albertus" w:hAnsi="Albertus"/>
      <w:b/>
      <w:bCs/>
      <w:sz w:val="30"/>
      <w:szCs w:val="30"/>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qFormat/>
    <w:locked/>
    <w:uiPriority w:val="0"/>
    <w:rPr>
      <w:sz w:val="24"/>
    </w:rPr>
  </w:style>
  <w:style w:type="character" w:styleId="6">
    <w:name w:val="Strong"/>
    <w:qFormat/>
    <w:uiPriority w:val="0"/>
    <w:rPr>
      <w:b/>
    </w:rPr>
  </w:style>
  <w:style w:type="character" w:customStyle="1" w:styleId="7">
    <w:name w:val="标题 9 字符"/>
    <w:link w:val="2"/>
    <w:autoRedefine/>
    <w:semiHidden/>
    <w:qFormat/>
    <w:locked/>
    <w:uiPriority w:val="99"/>
    <w:rPr>
      <w:rFonts w:ascii="Cambria" w:hAnsi="Cambria" w:eastAsia="宋体"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350</Words>
  <Characters>1998</Characters>
  <Lines>16</Lines>
  <Paragraphs>4</Paragraphs>
  <TotalTime>0</TotalTime>
  <ScaleCrop>false</ScaleCrop>
  <LinksUpToDate>false</LinksUpToDate>
  <CharactersWithSpaces>2344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WPS_1603247356</cp:lastModifiedBy>
  <dcterms:modified xsi:type="dcterms:W3CDTF">2024-05-13T07:25:45Z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03192580791748DD90EA0B5DCA9344A1_12</vt:lpwstr>
  </property>
</Properties>
</file>