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B7DC7">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《钢铁企业文化》课程标准</w:t>
      </w:r>
    </w:p>
    <w:p w14:paraId="30AC40BF">
      <w:pPr>
        <w:rPr>
          <w:rFonts w:ascii="仿宋_GB2312" w:hAnsi="仿宋_GB2312" w:eastAsia="仿宋_GB2312" w:cs="仿宋_GB2312"/>
          <w:color w:val="FF0000"/>
          <w:sz w:val="21"/>
          <w:szCs w:val="21"/>
        </w:rPr>
      </w:pPr>
      <w:r>
        <w:rPr>
          <w:rFonts w:hint="eastAsia" w:ascii="黑体" w:hAnsi="黑体" w:eastAsia="黑体" w:cs="黑体"/>
        </w:rPr>
        <w:t>一、课程基本信息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963"/>
        <w:gridCol w:w="2298"/>
        <w:gridCol w:w="2131"/>
      </w:tblGrid>
      <w:tr w14:paraId="7D10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3BD6E7D">
            <w:pPr>
              <w:widowControl w:val="0"/>
              <w:jc w:val="center"/>
              <w:rPr>
                <w:rFonts w:ascii="黑体" w:hAnsi="黑体" w:eastAsia="黑体" w:cs="黑体"/>
                <w:sz w:val="28"/>
                <w:szCs w:val="28"/>
              </w:rPr>
            </w:pPr>
            <w:r>
              <w:rPr>
                <w:rFonts w:hint="eastAsia" w:ascii="黑体" w:hAnsi="黑体" w:eastAsia="黑体" w:cs="黑体"/>
                <w:sz w:val="28"/>
                <w:szCs w:val="28"/>
              </w:rPr>
              <w:t>课程名称</w:t>
            </w:r>
          </w:p>
        </w:tc>
        <w:tc>
          <w:tcPr>
            <w:tcW w:w="6392" w:type="dxa"/>
            <w:gridSpan w:val="3"/>
          </w:tcPr>
          <w:p w14:paraId="33E16152">
            <w:pPr>
              <w:widowControl w:val="0"/>
              <w:jc w:val="both"/>
              <w:rPr>
                <w:rFonts w:hint="default" w:ascii="仿宋_GB2312" w:hAnsi="仿宋_GB2312" w:eastAsia="仿宋_GB2312"/>
                <w:sz w:val="28"/>
                <w:szCs w:val="28"/>
                <w:lang w:val="en-US"/>
              </w:rPr>
            </w:pPr>
            <w:r>
              <w:rPr>
                <w:rFonts w:hint="eastAsia" w:ascii="仿宋_GB2312" w:hAnsi="仿宋_GB2312" w:eastAsia="仿宋_GB2312" w:cs="Times New Roman"/>
                <w:sz w:val="28"/>
                <w:szCs w:val="28"/>
                <w:lang w:val="en-US" w:eastAsia="zh-CN"/>
              </w:rPr>
              <w:t>钢铁企业文化</w:t>
            </w:r>
          </w:p>
        </w:tc>
      </w:tr>
      <w:tr w14:paraId="426A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FD04556">
            <w:pPr>
              <w:widowControl w:val="0"/>
              <w:jc w:val="center"/>
              <w:rPr>
                <w:rFonts w:ascii="黑体" w:hAnsi="黑体" w:eastAsia="黑体" w:cs="黑体"/>
                <w:sz w:val="28"/>
                <w:szCs w:val="28"/>
              </w:rPr>
            </w:pPr>
            <w:r>
              <w:rPr>
                <w:rFonts w:hint="eastAsia" w:ascii="黑体" w:hAnsi="黑体" w:eastAsia="黑体" w:cs="黑体"/>
                <w:sz w:val="28"/>
                <w:szCs w:val="28"/>
              </w:rPr>
              <w:t>适应专业</w:t>
            </w:r>
          </w:p>
        </w:tc>
        <w:tc>
          <w:tcPr>
            <w:tcW w:w="6392" w:type="dxa"/>
            <w:gridSpan w:val="3"/>
          </w:tcPr>
          <w:p w14:paraId="52072F30">
            <w:pPr>
              <w:widowControl w:val="0"/>
              <w:jc w:val="both"/>
              <w:rPr>
                <w:rFonts w:ascii="仿宋_GB2312" w:hAnsi="仿宋_GB2312" w:eastAsia="仿宋_GB2312"/>
                <w:sz w:val="28"/>
                <w:szCs w:val="28"/>
              </w:rPr>
            </w:pPr>
            <w:r>
              <w:rPr>
                <w:rFonts w:hint="eastAsia" w:ascii="仿宋_GB2312" w:hAnsi="仿宋_GB2312" w:eastAsia="仿宋_GB2312" w:cs="Times New Roman"/>
                <w:sz w:val="28"/>
                <w:szCs w:val="28"/>
                <w:lang w:val="en-US" w:eastAsia="zh-CN"/>
              </w:rPr>
              <w:t>钢铁智能冶金技术、智能轧钢技术、钢铁冶金设备维护、金属材料检测技术</w:t>
            </w:r>
          </w:p>
        </w:tc>
      </w:tr>
      <w:tr w14:paraId="0B44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FF603A">
            <w:pPr>
              <w:widowControl w:val="0"/>
              <w:jc w:val="center"/>
              <w:rPr>
                <w:rFonts w:ascii="黑体" w:hAnsi="黑体" w:eastAsia="黑体" w:cs="黑体"/>
                <w:sz w:val="28"/>
                <w:szCs w:val="28"/>
              </w:rPr>
            </w:pPr>
            <w:r>
              <w:rPr>
                <w:rFonts w:hint="eastAsia" w:ascii="黑体" w:hAnsi="黑体" w:eastAsia="黑体" w:cs="黑体"/>
                <w:sz w:val="28"/>
                <w:szCs w:val="28"/>
              </w:rPr>
              <w:t>学 分 数</w:t>
            </w:r>
          </w:p>
        </w:tc>
        <w:tc>
          <w:tcPr>
            <w:tcW w:w="1963" w:type="dxa"/>
          </w:tcPr>
          <w:p w14:paraId="7C28EF57">
            <w:pPr>
              <w:widowControl w:val="0"/>
              <w:jc w:val="center"/>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2</w:t>
            </w:r>
          </w:p>
        </w:tc>
        <w:tc>
          <w:tcPr>
            <w:tcW w:w="2298" w:type="dxa"/>
          </w:tcPr>
          <w:p w14:paraId="723B0A2D">
            <w:pPr>
              <w:widowControl w:val="0"/>
              <w:jc w:val="center"/>
              <w:rPr>
                <w:rFonts w:ascii="黑体" w:hAnsi="黑体" w:eastAsia="黑体" w:cs="黑体"/>
                <w:sz w:val="28"/>
                <w:szCs w:val="28"/>
              </w:rPr>
            </w:pPr>
            <w:r>
              <w:rPr>
                <w:rFonts w:hint="eastAsia" w:ascii="黑体" w:hAnsi="黑体" w:eastAsia="黑体" w:cs="黑体"/>
                <w:sz w:val="28"/>
                <w:szCs w:val="28"/>
              </w:rPr>
              <w:t>学 时 数</w:t>
            </w:r>
          </w:p>
        </w:tc>
        <w:tc>
          <w:tcPr>
            <w:tcW w:w="2131" w:type="dxa"/>
          </w:tcPr>
          <w:p w14:paraId="779440D0">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32</w:t>
            </w:r>
          </w:p>
        </w:tc>
      </w:tr>
      <w:tr w14:paraId="7ED0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213C14">
            <w:pPr>
              <w:widowControl w:val="0"/>
              <w:jc w:val="center"/>
              <w:rPr>
                <w:rFonts w:ascii="黑体" w:hAnsi="黑体" w:eastAsia="黑体" w:cs="黑体"/>
                <w:sz w:val="28"/>
                <w:szCs w:val="28"/>
              </w:rPr>
            </w:pPr>
            <w:r>
              <w:rPr>
                <w:rFonts w:hint="eastAsia" w:ascii="黑体" w:hAnsi="黑体" w:eastAsia="黑体" w:cs="黑体"/>
                <w:sz w:val="28"/>
                <w:szCs w:val="28"/>
              </w:rPr>
              <w:t>开课学期</w:t>
            </w:r>
          </w:p>
        </w:tc>
        <w:tc>
          <w:tcPr>
            <w:tcW w:w="1963" w:type="dxa"/>
            <w:vAlign w:val="center"/>
          </w:tcPr>
          <w:p w14:paraId="73077855">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大一上学期</w:t>
            </w:r>
          </w:p>
        </w:tc>
        <w:tc>
          <w:tcPr>
            <w:tcW w:w="2298" w:type="dxa"/>
            <w:vAlign w:val="center"/>
          </w:tcPr>
          <w:p w14:paraId="6D462841">
            <w:pPr>
              <w:widowControl w:val="0"/>
              <w:jc w:val="center"/>
              <w:rPr>
                <w:rFonts w:ascii="黑体" w:hAnsi="黑体" w:eastAsia="黑体" w:cs="黑体"/>
                <w:sz w:val="28"/>
                <w:szCs w:val="28"/>
              </w:rPr>
            </w:pPr>
            <w:r>
              <w:rPr>
                <w:rFonts w:hint="eastAsia" w:ascii="黑体" w:hAnsi="黑体" w:eastAsia="黑体" w:cs="黑体"/>
                <w:sz w:val="28"/>
                <w:szCs w:val="28"/>
              </w:rPr>
              <w:t>课程类别</w:t>
            </w:r>
          </w:p>
        </w:tc>
        <w:tc>
          <w:tcPr>
            <w:tcW w:w="2131" w:type="dxa"/>
          </w:tcPr>
          <w:p w14:paraId="5C40A02C">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通识课</w:t>
            </w:r>
          </w:p>
        </w:tc>
      </w:tr>
      <w:tr w14:paraId="6F4A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79BCF6D">
            <w:pPr>
              <w:widowControl w:val="0"/>
              <w:jc w:val="center"/>
              <w:rPr>
                <w:rFonts w:ascii="黑体" w:hAnsi="黑体" w:eastAsia="黑体" w:cs="黑体"/>
                <w:sz w:val="28"/>
                <w:szCs w:val="28"/>
              </w:rPr>
            </w:pPr>
            <w:r>
              <w:rPr>
                <w:rFonts w:hint="eastAsia" w:ascii="黑体" w:hAnsi="黑体" w:eastAsia="黑体" w:cs="黑体"/>
                <w:sz w:val="28"/>
                <w:szCs w:val="28"/>
              </w:rPr>
              <w:t>前导课程</w:t>
            </w:r>
          </w:p>
        </w:tc>
        <w:tc>
          <w:tcPr>
            <w:tcW w:w="1963" w:type="dxa"/>
          </w:tcPr>
          <w:p w14:paraId="6EAB1F22">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c>
          <w:tcPr>
            <w:tcW w:w="2298" w:type="dxa"/>
          </w:tcPr>
          <w:p w14:paraId="51D787D6">
            <w:pPr>
              <w:widowControl w:val="0"/>
              <w:jc w:val="center"/>
              <w:rPr>
                <w:rFonts w:ascii="仿宋_GB2312" w:hAnsi="仿宋_GB2312" w:eastAsia="仿宋_GB2312"/>
              </w:rPr>
            </w:pPr>
            <w:r>
              <w:rPr>
                <w:rFonts w:hint="eastAsia" w:ascii="黑体" w:hAnsi="黑体" w:eastAsia="黑体" w:cs="黑体"/>
                <w:sz w:val="28"/>
                <w:szCs w:val="28"/>
              </w:rPr>
              <w:t>后续课程</w:t>
            </w:r>
          </w:p>
        </w:tc>
        <w:tc>
          <w:tcPr>
            <w:tcW w:w="2131" w:type="dxa"/>
          </w:tcPr>
          <w:p w14:paraId="6D9C5233">
            <w:pPr>
              <w:widowControl w:val="0"/>
              <w:jc w:val="both"/>
              <w:rPr>
                <w:rFonts w:ascii="仿宋_GB2312" w:hAnsi="仿宋_GB2312" w:eastAsia="仿宋_GB2312"/>
                <w:sz w:val="28"/>
                <w:szCs w:val="28"/>
              </w:rPr>
            </w:pP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lang w:val="en-US" w:eastAsia="zh-CN"/>
              </w:rPr>
              <w:t>高炉炼铁</w:t>
            </w:r>
            <w:r>
              <w:rPr>
                <w:rFonts w:hint="default" w:ascii="仿宋_GB2312" w:hAnsi="仿宋_GB2312" w:eastAsia="仿宋_GB2312" w:cs="Times New Roman"/>
                <w:sz w:val="28"/>
                <w:szCs w:val="28"/>
              </w:rPr>
              <w:t>操作</w:t>
            </w:r>
            <w:r>
              <w:rPr>
                <w:rFonts w:hint="eastAsia" w:ascii="仿宋_GB2312" w:hAnsi="仿宋_GB2312" w:eastAsia="仿宋_GB2312" w:cs="Times New Roman"/>
                <w:sz w:val="28"/>
                <w:szCs w:val="28"/>
                <w:lang w:val="en-US" w:eastAsia="zh-CN"/>
              </w:rPr>
              <w:t>与控制</w:t>
            </w:r>
            <w:r>
              <w:rPr>
                <w:rFonts w:hint="eastAsia" w:ascii="仿宋_GB2312" w:hAnsi="仿宋_GB2312" w:eastAsia="仿宋_GB2312" w:cs="Times New Roman"/>
                <w:sz w:val="28"/>
                <w:szCs w:val="28"/>
                <w:lang w:eastAsia="zh-CN"/>
              </w:rPr>
              <w:t>》、《</w:t>
            </w:r>
            <w:r>
              <w:rPr>
                <w:rFonts w:hint="default" w:ascii="仿宋_GB2312" w:hAnsi="仿宋_GB2312" w:eastAsia="仿宋_GB2312" w:cs="Times New Roman"/>
                <w:sz w:val="28"/>
                <w:szCs w:val="28"/>
              </w:rPr>
              <w:t>转炉炼钢操作</w:t>
            </w:r>
            <w:r>
              <w:rPr>
                <w:rFonts w:hint="eastAsia" w:ascii="仿宋_GB2312" w:hAnsi="仿宋_GB2312" w:eastAsia="仿宋_GB2312" w:cs="Times New Roman"/>
                <w:sz w:val="28"/>
                <w:szCs w:val="28"/>
                <w:lang w:val="en-US" w:eastAsia="zh-CN"/>
              </w:rPr>
              <w:t>与控制》</w:t>
            </w:r>
          </w:p>
        </w:tc>
      </w:tr>
      <w:tr w14:paraId="12D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1292EBA">
            <w:pPr>
              <w:widowControl w:val="0"/>
              <w:jc w:val="center"/>
              <w:rPr>
                <w:rFonts w:ascii="黑体" w:hAnsi="黑体" w:eastAsia="黑体" w:cs="黑体"/>
                <w:sz w:val="28"/>
                <w:szCs w:val="28"/>
              </w:rPr>
            </w:pPr>
            <w:r>
              <w:rPr>
                <w:rFonts w:hint="eastAsia" w:ascii="黑体" w:hAnsi="黑体" w:eastAsia="黑体" w:cs="黑体"/>
                <w:sz w:val="28"/>
                <w:szCs w:val="28"/>
              </w:rPr>
              <w:t>执 笔 人</w:t>
            </w:r>
          </w:p>
        </w:tc>
        <w:tc>
          <w:tcPr>
            <w:tcW w:w="1963" w:type="dxa"/>
          </w:tcPr>
          <w:p w14:paraId="2371ADA8">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段月</w:t>
            </w:r>
          </w:p>
        </w:tc>
        <w:tc>
          <w:tcPr>
            <w:tcW w:w="2298" w:type="dxa"/>
          </w:tcPr>
          <w:p w14:paraId="3E9645D5">
            <w:pPr>
              <w:widowControl w:val="0"/>
              <w:jc w:val="center"/>
              <w:rPr>
                <w:rFonts w:ascii="黑体" w:hAnsi="黑体" w:eastAsia="黑体" w:cs="黑体"/>
                <w:sz w:val="28"/>
                <w:szCs w:val="28"/>
              </w:rPr>
            </w:pPr>
            <w:r>
              <w:rPr>
                <w:rFonts w:hint="eastAsia" w:ascii="黑体" w:hAnsi="黑体" w:eastAsia="黑体" w:cs="黑体"/>
                <w:sz w:val="28"/>
                <w:szCs w:val="28"/>
              </w:rPr>
              <w:t>审 核 人</w:t>
            </w:r>
          </w:p>
        </w:tc>
        <w:tc>
          <w:tcPr>
            <w:tcW w:w="2131" w:type="dxa"/>
          </w:tcPr>
          <w:p w14:paraId="62DBA2DF">
            <w:pPr>
              <w:widowControl w:val="0"/>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马忠伟</w:t>
            </w:r>
          </w:p>
        </w:tc>
      </w:tr>
    </w:tbl>
    <w:p w14:paraId="1AC5FB50">
      <w:pPr>
        <w:rPr>
          <w:rFonts w:ascii="黑体" w:hAnsi="黑体" w:eastAsia="黑体" w:cs="黑体"/>
        </w:rPr>
      </w:pPr>
      <w:r>
        <w:rPr>
          <w:rFonts w:hint="eastAsia" w:ascii="黑体" w:hAnsi="黑体" w:eastAsia="黑体" w:cs="黑体"/>
        </w:rPr>
        <w:t>二、课程目标</w:t>
      </w:r>
    </w:p>
    <w:p w14:paraId="21393182">
      <w:pPr>
        <w:rPr>
          <w:rFonts w:ascii="楷体_GB2312" w:hAnsi="楷体_GB2312" w:eastAsia="楷体_GB2312" w:cs="楷体_GB2312"/>
        </w:rPr>
      </w:pPr>
      <w:r>
        <w:rPr>
          <w:rFonts w:hint="eastAsia" w:ascii="楷体_GB2312" w:hAnsi="楷体_GB2312" w:eastAsia="楷体_GB2312" w:cs="楷体_GB2312"/>
        </w:rPr>
        <w:t>（一）课程目标</w:t>
      </w:r>
    </w:p>
    <w:p w14:paraId="33496041">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1.素质</w:t>
      </w:r>
    </w:p>
    <w:p w14:paraId="03921824">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培养学生对国家重大战略需求的敏感度，增强“为国炼钢”的使命感，树立扎根一线、服务产业的职业信念。</w:t>
      </w:r>
    </w:p>
    <w:p w14:paraId="1587E06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引导学生崇尚劳动、尊重技术，建立“平凡岗位也能成就伟大事业”的价值观，破除对“蓝领”职业的偏见。</w:t>
      </w:r>
    </w:p>
    <w:p w14:paraId="7B97CD9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塑造学生严谨求实、一丝不苟的工作作风，杜绝侥幸心理，强化“质量第一、安全至上”的红线意识。</w:t>
      </w:r>
    </w:p>
    <w:p w14:paraId="310DD5DD">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激发学生勇于创新、敢于突破的勇气，鼓励其在现有工艺流程中寻找优化空间，积极参与技术革新活动。</w:t>
      </w:r>
    </w:p>
    <w:p w14:paraId="65C90F1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增强学生的环保意识与社会责任感，理解钢铁企业作为“城市代谢净化器”的生态功能，主动践行节能减排行为。</w:t>
      </w:r>
    </w:p>
    <w:p w14:paraId="18E1A98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培养学生团结互助、共同奋斗的集体主义精神，学会在高压环境下保持理性与同理心，成为有温度、有担当的钢铁人。</w:t>
      </w:r>
    </w:p>
    <w:p w14:paraId="222AEC5E">
      <w:pPr>
        <w:numPr>
          <w:ilvl w:val="0"/>
          <w:numId w:val="1"/>
        </w:numPr>
        <w:rPr>
          <w:rFonts w:hint="eastAsia" w:ascii="仿宋_GB2312" w:hAnsi="仿宋_GB2312" w:eastAsia="仿宋_GB2312" w:cs="仿宋_GB2312"/>
        </w:rPr>
      </w:pPr>
      <w:r>
        <w:rPr>
          <w:rFonts w:hint="eastAsia" w:ascii="仿宋_GB2312" w:hAnsi="仿宋_GB2312" w:eastAsia="仿宋_GB2312" w:cs="仿宋_GB2312"/>
        </w:rPr>
        <w:t>知识</w:t>
      </w:r>
    </w:p>
    <w:p w14:paraId="4AB0D806">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能够准确描述中国钢铁企业文化发展的四个历史阶段：萌芽奠基期（1949年前）、探索成长期（1949-2000年）、深化转型期（2001-2012年）、新时代升华期（2013年至今）的主要特征与标志性事件。</w:t>
      </w:r>
    </w:p>
    <w:p w14:paraId="2C73746A">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能够列举并解释“陆达精神”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“孟泰精神”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“鞍钢宪法”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“85.9精神”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“邯钢经验”等代表性文化符号的具体内涵及其在行业发展中的作用。</w:t>
      </w:r>
    </w:p>
    <w:p w14:paraId="63869C49">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能够理解“双碳”目标背景下钢铁行业绿色低碳转型的战略意义，并掌握山钢日照公司“无废工厂”建设的基本模式与关键举措。</w:t>
      </w:r>
    </w:p>
    <w:p w14:paraId="6F3B2E9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能够说明河钢集团智能“无人化”料场的运行原理，包括5G+AI视觉检测、皮带通廊密闭运输、电动重卡清洁运输等核心技术的应用场景。</w:t>
      </w:r>
    </w:p>
    <w:p w14:paraId="4129FE42">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能够阐述党建引领下国有企业文化建设的新方向，如“党员示范岗”“带头保产保供”等机制如何推动企业文化落地生根。</w:t>
      </w:r>
    </w:p>
    <w:p w14:paraId="3FC4E967">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能够识别不同岗位（如炼铁工、理化检验员、设备维护工）在企业文化践行中的具体行为表现差异，理解岗位职责与文化认同之间的内在联系。</w:t>
      </w:r>
    </w:p>
    <w:p w14:paraId="7AEACFA8">
      <w:pPr>
        <w:rPr>
          <w:rFonts w:hint="eastAsia" w:ascii="仿宋_GB2312" w:hAnsi="仿宋_GB2312" w:eastAsia="仿宋_GB2312" w:cs="仿宋_GB2312"/>
        </w:rPr>
      </w:pPr>
      <w:r>
        <w:rPr>
          <w:rFonts w:hint="eastAsia" w:ascii="仿宋_GB2312" w:hAnsi="仿宋_GB2312" w:eastAsia="仿宋_GB2312" w:cs="仿宋_GB2312"/>
        </w:rPr>
        <w:t>3.能力</w:t>
      </w:r>
    </w:p>
    <w:p w14:paraId="786CE9DF">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能够基于给定的企业文化案例（如孟泰护炉、陆达韧化白口生铁），进行角色代入式情景模拟，提出应对突发事故或资源短缺问题的合理解决方案，并清晰表达其文化逻辑。</w:t>
      </w:r>
    </w:p>
    <w:p w14:paraId="0A7A64C1">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能够在小组讨论中，围绕“如何在日常工作中体现‘精益求精’的工匠精神”这一主题，提出至少三项可操作的行为建议，并说明其可行性与预期效果。</w:t>
      </w:r>
    </w:p>
    <w:p w14:paraId="005BFA63">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能够运用“文化价值矩阵”工具，对三种不同类型的企业（传统国企、混合所有制、外资合资）的文化特征进行对比分析，提炼出适合自身职业发展的文化适配策略。</w:t>
      </w:r>
    </w:p>
    <w:p w14:paraId="5DDE510C">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能够设计一份简要的“岗位文化践行计划书”，明确在未来三个月内，自己将在哪些方面体现“爱岗敬业、甘于奉献”的职业态度，包含具体行动步骤与自我监督机制。</w:t>
      </w:r>
    </w:p>
    <w:p w14:paraId="26E6E425">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能够在模拟面试中，结合个人经历，阐述自己对“钢铁工人”这一职业身份的理解，并举例说明自己曾如何克服困难完成一项任务，展现坚韧不拔的精神风貌。</w:t>
      </w:r>
    </w:p>
    <w:p w14:paraId="7FE39C88">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能够在团队项目中担任协调者角色，有效组织成员分工，解决因文化差异或沟通不畅引发的冲突，促进团队高效协作。</w:t>
      </w:r>
    </w:p>
    <w:p w14:paraId="6287BB62">
      <w:pPr>
        <w:rPr>
          <w:rFonts w:ascii="楷体_GB2312" w:hAnsi="楷体_GB2312" w:eastAsia="楷体_GB2312" w:cs="楷体_GB2312"/>
        </w:rPr>
      </w:pPr>
      <w:r>
        <w:rPr>
          <w:rFonts w:hint="eastAsia" w:ascii="楷体_GB2312" w:hAnsi="楷体_GB2312" w:eastAsia="楷体_GB2312" w:cs="楷体_GB2312"/>
        </w:rPr>
        <w:t>（二）与专业培养目标的对应关系</w:t>
      </w:r>
    </w:p>
    <w:p w14:paraId="1C2F7A1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钢铁企业文化课程目标是通过传递钢铁行业的精神基因、职业规范、发展逻辑与价值导向，为钢铁冶金相关专业人才培养提供“素养支撑、认知赋能、能力适配”的关键保障。其课程目标与专业培养目标并非简单的“补充”关系，而是深度嵌入、双向呼应的“协同共生” 关系</w:t>
      </w:r>
      <w:r>
        <w:rPr>
          <w:rFonts w:hint="eastAsia" w:ascii="仿宋_GB2312" w:hAnsi="仿宋_GB2312" w:eastAsia="仿宋_GB2312" w:cs="仿宋_GB2312"/>
          <w:sz w:val="28"/>
          <w:szCs w:val="28"/>
          <w:lang w:eastAsia="zh-CN"/>
        </w:rPr>
        <w:t>。</w:t>
      </w:r>
    </w:p>
    <w:p w14:paraId="2A38CE24">
      <w:pPr>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val="en-US" w:eastAsia="zh-CN"/>
        </w:rPr>
        <w:t>素养</w:t>
      </w:r>
      <w:r>
        <w:rPr>
          <w:rFonts w:hint="eastAsia" w:ascii="仿宋_GB2312" w:hAnsi="仿宋_GB2312" w:eastAsia="仿宋_GB2312" w:cs="仿宋_GB2312"/>
          <w:sz w:val="32"/>
          <w:szCs w:val="32"/>
        </w:rPr>
        <w:t>目标”与专业“家国情怀 + 职业操守”培养目标精准对接</w:t>
      </w:r>
    </w:p>
    <w:p w14:paraId="265968C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钢铁企业文化课程的</w:t>
      </w:r>
      <w:r>
        <w:rPr>
          <w:rFonts w:hint="eastAsia" w:ascii="仿宋_GB2312" w:hAnsi="仿宋_GB2312" w:eastAsia="仿宋_GB2312" w:cs="仿宋_GB2312"/>
          <w:sz w:val="28"/>
          <w:szCs w:val="28"/>
          <w:lang w:val="en-US" w:eastAsia="zh-CN"/>
        </w:rPr>
        <w:t>素养</w:t>
      </w:r>
      <w:r>
        <w:rPr>
          <w:rFonts w:hint="eastAsia" w:ascii="仿宋_GB2312" w:hAnsi="仿宋_GB2312" w:eastAsia="仿宋_GB2312" w:cs="仿宋_GB2312"/>
          <w:sz w:val="28"/>
          <w:szCs w:val="28"/>
        </w:rPr>
        <w:t>目标是：传承行业红色基因与工业精神，培育学生爱党爱国、扎根行业、坚守责任的职业价值观。这与钢铁冶金</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专业“培养具有家国情怀、职业操守的技术人才”的核心培养目标高度契合</w:t>
      </w:r>
      <w:r>
        <w:rPr>
          <w:rFonts w:hint="eastAsia" w:ascii="仿宋_GB2312" w:hAnsi="仿宋_GB2312" w:eastAsia="仿宋_GB2312" w:cs="仿宋_GB2312"/>
          <w:sz w:val="28"/>
          <w:szCs w:val="28"/>
          <w:lang w:eastAsia="zh-CN"/>
        </w:rPr>
        <w:t>。</w:t>
      </w:r>
    </w:p>
    <w:p w14:paraId="601CFD89">
      <w:pPr>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val="en-US" w:eastAsia="zh-CN"/>
        </w:rPr>
        <w:t>知识</w:t>
      </w:r>
      <w:r>
        <w:rPr>
          <w:rFonts w:hint="eastAsia" w:ascii="仿宋_GB2312" w:hAnsi="仿宋_GB2312" w:eastAsia="仿宋_GB2312" w:cs="仿宋_GB2312"/>
          <w:sz w:val="32"/>
          <w:szCs w:val="32"/>
        </w:rPr>
        <w:t>目标”与专业“行业认知 + 发展视野”培养目标的深度契合</w:t>
      </w:r>
    </w:p>
    <w:p w14:paraId="7801C0E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钢铁企业文化课程的</w:t>
      </w:r>
      <w:r>
        <w:rPr>
          <w:rFonts w:hint="eastAsia" w:ascii="仿宋_GB2312" w:hAnsi="仿宋_GB2312" w:eastAsia="仿宋_GB2312" w:cs="仿宋_GB2312"/>
          <w:sz w:val="28"/>
          <w:szCs w:val="28"/>
          <w:lang w:val="en-US" w:eastAsia="zh-CN"/>
        </w:rPr>
        <w:t>知识</w:t>
      </w:r>
      <w:r>
        <w:rPr>
          <w:rFonts w:hint="eastAsia" w:ascii="仿宋_GB2312" w:hAnsi="仿宋_GB2312" w:eastAsia="仿宋_GB2312" w:cs="仿宋_GB2312"/>
          <w:sz w:val="28"/>
          <w:szCs w:val="28"/>
        </w:rPr>
        <w:t>目标是：帮助学生理解钢铁行业的历史逻辑、产业生态与现代转型趋势，搭建“技术知识”与“行业全局”的关联桥梁。这与钢铁冶金</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专业“培养懂技术、懂行业的复合型人才”目标形成精准呼应</w:t>
      </w:r>
      <w:r>
        <w:rPr>
          <w:rFonts w:hint="eastAsia" w:ascii="仿宋_GB2312" w:hAnsi="仿宋_GB2312" w:eastAsia="仿宋_GB2312" w:cs="仿宋_GB2312"/>
          <w:sz w:val="28"/>
          <w:szCs w:val="28"/>
          <w:lang w:eastAsia="zh-CN"/>
        </w:rPr>
        <w:t>。</w:t>
      </w:r>
    </w:p>
    <w:p w14:paraId="6AFAD6CD">
      <w:pPr>
        <w:keepNext w:val="0"/>
        <w:keepLines w:val="0"/>
        <w:pageBreakBefore w:val="0"/>
        <w:widowControl/>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课程“能力目标”与专业“实践能力 + 协作素养”培养目标的双向适配</w:t>
      </w:r>
    </w:p>
    <w:p w14:paraId="03D7250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钢铁企业文化课程的能力目标是：培育学生适应行业生产需求的实践攻坚能力、团队协作能力与职业适应能力。这与钢铁冶金</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专业“培养面向一线、解决实际问题的实践型人才”目标高度匹配</w:t>
      </w:r>
      <w:r>
        <w:rPr>
          <w:rFonts w:hint="eastAsia" w:ascii="仿宋_GB2312" w:hAnsi="仿宋_GB2312" w:eastAsia="仿宋_GB2312" w:cs="仿宋_GB2312"/>
          <w:sz w:val="28"/>
          <w:szCs w:val="28"/>
          <w:lang w:eastAsia="zh-CN"/>
        </w:rPr>
        <w:t>。</w:t>
      </w:r>
    </w:p>
    <w:p w14:paraId="213B6AED">
      <w:pPr>
        <w:rPr>
          <w:rFonts w:ascii="黑体" w:hAnsi="黑体" w:eastAsia="黑体" w:cs="黑体"/>
        </w:rPr>
      </w:pPr>
      <w:r>
        <w:rPr>
          <w:rFonts w:hint="eastAsia" w:ascii="黑体" w:hAnsi="黑体" w:eastAsia="黑体" w:cs="黑体"/>
        </w:rPr>
        <w:t>三、教学内容与学时分配</w:t>
      </w:r>
    </w:p>
    <w:p w14:paraId="0C1981F8">
      <w:pPr>
        <w:rPr>
          <w:rFonts w:ascii="楷体_GB2312" w:hAnsi="楷体_GB2312" w:eastAsia="楷体_GB2312" w:cs="楷体_GB2312"/>
        </w:rPr>
      </w:pPr>
      <w:r>
        <w:rPr>
          <w:rFonts w:hint="eastAsia" w:ascii="楷体_GB2312" w:hAnsi="楷体_GB2312" w:eastAsia="楷体_GB2312" w:cs="楷体_GB2312"/>
        </w:rPr>
        <w:t>（一）课程设计与思路</w:t>
      </w:r>
    </w:p>
    <w:p w14:paraId="41EBA33D">
      <w:pPr>
        <w:pStyle w:val="13"/>
        <w:keepNext w:val="0"/>
        <w:keepLines w:val="0"/>
        <w:pageBreakBefore w:val="0"/>
        <w:widowControl/>
        <w:kinsoku/>
        <w:wordWrap/>
        <w:overflowPunct/>
        <w:topLinePunct w:val="0"/>
        <w:autoSpaceDE/>
        <w:autoSpaceDN/>
        <w:bidi w:val="0"/>
        <w:adjustRightInd/>
        <w:snapToGrid/>
        <w:spacing w:before="0" w:after="0" w:line="24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课程秉持“以文化人、以德育人、以技育才”的三维育人理念，坚持“三个统一”原则：一是统一思想与技能，将思想政治教育贯穿于专业知识传授全过程；二是统一历史与现实，通过鲜活的历史案例与前沿科技应用对比，增强学生对行业发展的认同感；三是统一课堂与岗位，通过模拟岗位情境、角色扮演、任务驱动等方式，让学生提前进入“准职业人”状态。课程强调“体验式学习”与“反思性实践”，鼓励学生在学习中思考、在思考中行动、在行动中成长，最终实现从“被动接受”到“主动建构”的学习范式转变。</w:t>
      </w:r>
    </w:p>
    <w:p w14:paraId="321AD1DC">
      <w:pPr>
        <w:numPr>
          <w:ilvl w:val="0"/>
          <w:numId w:val="2"/>
        </w:numPr>
        <w:rPr>
          <w:rFonts w:hint="eastAsia" w:ascii="楷体_GB2312" w:hAnsi="楷体_GB2312" w:eastAsia="楷体_GB2312" w:cs="楷体_GB2312"/>
        </w:rPr>
      </w:pPr>
      <w:r>
        <w:rPr>
          <w:rFonts w:hint="eastAsia" w:ascii="楷体_GB2312" w:hAnsi="楷体_GB2312" w:eastAsia="楷体_GB2312" w:cs="楷体_GB2312"/>
        </w:rPr>
        <w:t>教学内容（最好有知识图谱）</w:t>
      </w:r>
    </w:p>
    <w:p w14:paraId="4A9AC758">
      <w:pPr>
        <w:numPr>
          <w:ilvl w:val="0"/>
          <w:numId w:val="0"/>
        </w:numPr>
        <w:rPr>
          <w:rFonts w:hint="eastAsia" w:ascii="楷体_GB2312" w:hAnsi="楷体_GB2312" w:eastAsia="楷体_GB2312" w:cs="楷体_GB2312"/>
          <w:lang w:eastAsia="zh-CN"/>
        </w:rPr>
      </w:pPr>
      <w:r>
        <w:rPr>
          <w:rFonts w:hint="eastAsia" w:ascii="楷体_GB2312" w:hAnsi="楷体_GB2312" w:eastAsia="楷体_GB2312" w:cs="楷体_GB2312"/>
          <w:lang w:eastAsia="zh-CN"/>
        </w:rPr>
        <w:drawing>
          <wp:inline distT="0" distB="0" distL="114300" distR="114300">
            <wp:extent cx="5271770" cy="6120130"/>
            <wp:effectExtent l="0" t="0" r="11430" b="1270"/>
            <wp:docPr id="1" name="图片 1" descr="知识图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知识图谱"/>
                    <pic:cNvPicPr>
                      <a:picLocks noChangeAspect="1"/>
                    </pic:cNvPicPr>
                  </pic:nvPicPr>
                  <pic:blipFill>
                    <a:blip r:embed="rId4"/>
                    <a:stretch>
                      <a:fillRect/>
                    </a:stretch>
                  </pic:blipFill>
                  <pic:spPr>
                    <a:xfrm>
                      <a:off x="0" y="0"/>
                      <a:ext cx="5271770" cy="6120130"/>
                    </a:xfrm>
                    <a:prstGeom prst="rect">
                      <a:avLst/>
                    </a:prstGeom>
                  </pic:spPr>
                </pic:pic>
              </a:graphicData>
            </a:graphic>
          </wp:inline>
        </w:drawing>
      </w:r>
    </w:p>
    <w:tbl>
      <w:tblPr>
        <w:tblStyle w:val="8"/>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062"/>
        <w:gridCol w:w="2102"/>
        <w:gridCol w:w="1647"/>
        <w:gridCol w:w="1933"/>
        <w:gridCol w:w="817"/>
        <w:gridCol w:w="817"/>
      </w:tblGrid>
      <w:tr w14:paraId="7315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3" w:type="dxa"/>
            <w:vMerge w:val="restart"/>
            <w:vAlign w:val="center"/>
          </w:tcPr>
          <w:p w14:paraId="330545CF">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项目</w:t>
            </w:r>
          </w:p>
        </w:tc>
        <w:tc>
          <w:tcPr>
            <w:tcW w:w="1062" w:type="dxa"/>
            <w:vMerge w:val="restart"/>
            <w:vAlign w:val="center"/>
          </w:tcPr>
          <w:p w14:paraId="7C24FB9E">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任务</w:t>
            </w:r>
          </w:p>
        </w:tc>
        <w:tc>
          <w:tcPr>
            <w:tcW w:w="2102" w:type="dxa"/>
            <w:vMerge w:val="restart"/>
            <w:vAlign w:val="center"/>
          </w:tcPr>
          <w:p w14:paraId="757BCA70">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知识内容与要求</w:t>
            </w:r>
          </w:p>
        </w:tc>
        <w:tc>
          <w:tcPr>
            <w:tcW w:w="1647" w:type="dxa"/>
            <w:vMerge w:val="restart"/>
            <w:vAlign w:val="center"/>
          </w:tcPr>
          <w:p w14:paraId="3140A414">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技能内容与要求</w:t>
            </w:r>
          </w:p>
        </w:tc>
        <w:tc>
          <w:tcPr>
            <w:tcW w:w="1933" w:type="dxa"/>
            <w:vMerge w:val="restart"/>
            <w:vAlign w:val="center"/>
          </w:tcPr>
          <w:p w14:paraId="527878FE">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学习成果</w:t>
            </w:r>
          </w:p>
        </w:tc>
        <w:tc>
          <w:tcPr>
            <w:tcW w:w="1634" w:type="dxa"/>
            <w:gridSpan w:val="2"/>
            <w:vAlign w:val="center"/>
          </w:tcPr>
          <w:p w14:paraId="6EE8AE89">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建议学时</w:t>
            </w:r>
          </w:p>
        </w:tc>
      </w:tr>
      <w:tr w14:paraId="288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43" w:type="dxa"/>
            <w:vMerge w:val="continue"/>
            <w:vAlign w:val="center"/>
          </w:tcPr>
          <w:p w14:paraId="45E65084">
            <w:pPr>
              <w:keepNext/>
              <w:widowControl w:val="0"/>
              <w:snapToGrid w:val="0"/>
              <w:ind w:left="0" w:leftChars="0" w:right="0" w:rightChars="0" w:firstLine="0" w:firstLineChars="0"/>
              <w:jc w:val="center"/>
              <w:rPr>
                <w:rFonts w:ascii="黑体" w:hAnsi="仿宋_GB2312" w:eastAsia="黑体"/>
                <w:b/>
                <w:sz w:val="24"/>
                <w:szCs w:val="24"/>
              </w:rPr>
            </w:pPr>
          </w:p>
        </w:tc>
        <w:tc>
          <w:tcPr>
            <w:tcW w:w="1062" w:type="dxa"/>
            <w:vMerge w:val="continue"/>
            <w:vAlign w:val="center"/>
          </w:tcPr>
          <w:p w14:paraId="27B59E36">
            <w:pPr>
              <w:keepNext/>
              <w:widowControl w:val="0"/>
              <w:snapToGrid w:val="0"/>
              <w:ind w:left="0" w:leftChars="0" w:right="0" w:rightChars="0" w:firstLine="0" w:firstLineChars="0"/>
              <w:jc w:val="center"/>
              <w:rPr>
                <w:rFonts w:ascii="黑体" w:hAnsi="仿宋_GB2312" w:eastAsia="黑体"/>
                <w:b/>
                <w:sz w:val="24"/>
                <w:szCs w:val="24"/>
              </w:rPr>
            </w:pPr>
          </w:p>
        </w:tc>
        <w:tc>
          <w:tcPr>
            <w:tcW w:w="2102" w:type="dxa"/>
            <w:vMerge w:val="continue"/>
            <w:vAlign w:val="center"/>
          </w:tcPr>
          <w:p w14:paraId="21341C44">
            <w:pPr>
              <w:keepNext/>
              <w:widowControl w:val="0"/>
              <w:snapToGrid w:val="0"/>
              <w:ind w:left="0" w:leftChars="0" w:right="0" w:rightChars="0" w:firstLine="0" w:firstLineChars="0"/>
              <w:jc w:val="center"/>
              <w:rPr>
                <w:rFonts w:ascii="黑体" w:hAnsi="仿宋_GB2312" w:eastAsia="黑体"/>
                <w:b/>
                <w:sz w:val="24"/>
                <w:szCs w:val="24"/>
              </w:rPr>
            </w:pPr>
          </w:p>
        </w:tc>
        <w:tc>
          <w:tcPr>
            <w:tcW w:w="1647" w:type="dxa"/>
            <w:vMerge w:val="continue"/>
            <w:vAlign w:val="center"/>
          </w:tcPr>
          <w:p w14:paraId="037AFA49">
            <w:pPr>
              <w:keepNext/>
              <w:widowControl w:val="0"/>
              <w:snapToGrid w:val="0"/>
              <w:ind w:left="0" w:leftChars="0" w:right="0" w:rightChars="0" w:firstLine="0" w:firstLineChars="0"/>
              <w:jc w:val="center"/>
              <w:rPr>
                <w:rFonts w:ascii="黑体" w:hAnsi="仿宋_GB2312" w:eastAsia="黑体"/>
                <w:b/>
                <w:sz w:val="24"/>
                <w:szCs w:val="24"/>
              </w:rPr>
            </w:pPr>
          </w:p>
        </w:tc>
        <w:tc>
          <w:tcPr>
            <w:tcW w:w="1933" w:type="dxa"/>
            <w:vMerge w:val="continue"/>
            <w:vAlign w:val="center"/>
          </w:tcPr>
          <w:p w14:paraId="2F8F20E1">
            <w:pPr>
              <w:keepNext/>
              <w:widowControl w:val="0"/>
              <w:snapToGrid w:val="0"/>
              <w:ind w:left="0" w:leftChars="0" w:right="0" w:rightChars="0" w:firstLine="0" w:firstLineChars="0"/>
              <w:jc w:val="center"/>
              <w:rPr>
                <w:rFonts w:ascii="黑体" w:hAnsi="仿宋_GB2312" w:eastAsia="黑体"/>
                <w:b/>
                <w:sz w:val="24"/>
                <w:szCs w:val="24"/>
              </w:rPr>
            </w:pPr>
          </w:p>
        </w:tc>
        <w:tc>
          <w:tcPr>
            <w:tcW w:w="817" w:type="dxa"/>
            <w:vAlign w:val="center"/>
          </w:tcPr>
          <w:p w14:paraId="0F7FDDF2">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理论</w:t>
            </w:r>
          </w:p>
        </w:tc>
        <w:tc>
          <w:tcPr>
            <w:tcW w:w="817" w:type="dxa"/>
            <w:vAlign w:val="center"/>
          </w:tcPr>
          <w:p w14:paraId="2D95B2E0">
            <w:pPr>
              <w:keepNext/>
              <w:widowControl w:val="0"/>
              <w:snapToGrid w:val="0"/>
              <w:ind w:left="0" w:leftChars="0" w:right="0" w:rightChars="0" w:firstLine="0" w:firstLineChars="0"/>
              <w:jc w:val="center"/>
              <w:rPr>
                <w:rFonts w:ascii="黑体" w:hAnsi="黑体" w:eastAsia="黑体" w:cs="黑体"/>
                <w:b/>
                <w:sz w:val="24"/>
                <w:szCs w:val="24"/>
              </w:rPr>
            </w:pPr>
            <w:r>
              <w:rPr>
                <w:rFonts w:hint="eastAsia" w:ascii="黑体" w:hAnsi="黑体" w:eastAsia="黑体" w:cs="黑体"/>
                <w:b/>
                <w:sz w:val="24"/>
                <w:szCs w:val="24"/>
              </w:rPr>
              <w:t>实践</w:t>
            </w:r>
          </w:p>
        </w:tc>
      </w:tr>
      <w:tr w14:paraId="2B6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07BF20A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1.中国钢铁企业文化的“发展脉络”——从“保供”到“强质”的时代印记</w:t>
            </w:r>
          </w:p>
        </w:tc>
        <w:tc>
          <w:tcPr>
            <w:tcW w:w="1062" w:type="dxa"/>
            <w:vAlign w:val="center"/>
          </w:tcPr>
          <w:p w14:paraId="6DF90962">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1-1萌芽奠基：红色基因融入创业征程</w:t>
            </w:r>
          </w:p>
        </w:tc>
        <w:tc>
          <w:tcPr>
            <w:tcW w:w="2102" w:type="dxa"/>
            <w:vAlign w:val="center"/>
          </w:tcPr>
          <w:p w14:paraId="6FB2AD3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1.学习陆达、孟泰等先进人物爱党爱国、无私奉献的高尚品格，树立正确的职业道德观。</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2.认同中国共产党领导下的社会主义建设伟大成就，理解钢铁工业在工业化进程中的</w:t>
            </w:r>
            <w:r>
              <w:rPr>
                <w:rFonts w:hint="eastAsia" w:ascii="仿宋_GB2312" w:hAnsi="仿宋_GB2312" w:eastAsia="仿宋_GB2312" w:cs="仿宋_GB2312"/>
                <w:sz w:val="24"/>
                <w:szCs w:val="24"/>
                <w:lang w:val="en-US" w:eastAsia="zh-CN"/>
              </w:rPr>
              <w:t>重要</w:t>
            </w:r>
            <w:r>
              <w:rPr>
                <w:rFonts w:hint="eastAsia" w:ascii="仿宋_GB2312" w:hAnsi="仿宋_GB2312" w:eastAsia="仿宋_GB2312" w:cs="仿宋_GB2312"/>
                <w:sz w:val="24"/>
                <w:szCs w:val="24"/>
              </w:rPr>
              <w:t>战略地位。</w:t>
            </w:r>
          </w:p>
        </w:tc>
        <w:tc>
          <w:tcPr>
            <w:tcW w:w="1647" w:type="dxa"/>
            <w:shd w:val="clear" w:color="auto" w:fill="auto"/>
            <w:vAlign w:val="center"/>
          </w:tcPr>
          <w:p w14:paraId="6B259D3E">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1.能基于“鞍钢宪法”等史料，分析该阶段企业文化形成的多重动因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2.培养艰苦奋斗、勇于担当的责任意识，自觉抵制享乐主义、个人主义倾向。</w:t>
            </w:r>
          </w:p>
          <w:p w14:paraId="5529C72C">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bidi="ar-SA"/>
              </w:rPr>
            </w:pPr>
          </w:p>
        </w:tc>
        <w:tc>
          <w:tcPr>
            <w:tcW w:w="1933" w:type="dxa"/>
            <w:vAlign w:val="center"/>
          </w:tcPr>
          <w:p w14:paraId="158877A6">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1.通过深入了解陆达、孟泰等先进人物的感人事迹和高尚品格，树立了正确的职业道德观和价值观2.能够基于 "鞍钢宪法" 等历史资料，系统分析企业文化形成的多重动因。</w:t>
            </w:r>
          </w:p>
        </w:tc>
        <w:tc>
          <w:tcPr>
            <w:tcW w:w="817" w:type="dxa"/>
            <w:vAlign w:val="center"/>
          </w:tcPr>
          <w:p w14:paraId="7CA09D9F">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306C3219">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D9B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155ECC44">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56BFAE77">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1-2探索成长：在变革中求突破</w:t>
            </w:r>
          </w:p>
        </w:tc>
        <w:tc>
          <w:tcPr>
            <w:tcW w:w="2102" w:type="dxa"/>
            <w:vAlign w:val="center"/>
          </w:tcPr>
          <w:p w14:paraId="32E5B7C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1.强化成本意识与资源节约观念，抵制铺张浪费、粗放经营的不良风气。</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2.通过反思计划与市场两种体制的利弊，建立辩证看待社会变革的认知模式。</w:t>
            </w:r>
          </w:p>
        </w:tc>
        <w:tc>
          <w:tcPr>
            <w:tcW w:w="1647" w:type="dxa"/>
            <w:vAlign w:val="center"/>
          </w:tcPr>
          <w:p w14:paraId="2791FAE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1.明确新时代技术工人在提升产品竞争力中的关键作用，增强岗位自豪感。</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2.理解个人绩效与企业效益的共生关系，自觉践行高效履职的职业承诺。</w:t>
            </w:r>
          </w:p>
        </w:tc>
        <w:tc>
          <w:tcPr>
            <w:tcW w:w="1933" w:type="dxa"/>
            <w:vAlign w:val="center"/>
          </w:tcPr>
          <w:p w14:paraId="31218BD3">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1.强化了成本意识与资源节约观念2.建立了辩证看待社会变革的认知模式3.增强了岗位自豪感与责任意识</w:t>
            </w:r>
          </w:p>
        </w:tc>
        <w:tc>
          <w:tcPr>
            <w:tcW w:w="817" w:type="dxa"/>
            <w:vAlign w:val="center"/>
          </w:tcPr>
          <w:p w14:paraId="7FFE740A">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7907E27A">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1D21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435DED1E">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01F639D6">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1-3深化转型：适应市场竞争与行业变革</w:t>
            </w:r>
          </w:p>
        </w:tc>
        <w:tc>
          <w:tcPr>
            <w:tcW w:w="2102" w:type="dxa"/>
            <w:vAlign w:val="center"/>
          </w:tcPr>
          <w:p w14:paraId="6717D07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1.明确新时代技术工人在技术攻关与知识传承中的双重使命。</w:t>
            </w:r>
          </w:p>
          <w:p w14:paraId="3A4007C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2.理解个人行为对企业国际形象的影响，自觉维护国家工业尊严。</w:t>
            </w:r>
          </w:p>
        </w:tc>
        <w:tc>
          <w:tcPr>
            <w:tcW w:w="1647" w:type="dxa"/>
            <w:vAlign w:val="center"/>
          </w:tcPr>
          <w:p w14:paraId="29CB9D6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1.培养尊重知识产权的职业操守，树立保护企业技术秘密的责任意识。</w:t>
            </w:r>
          </w:p>
          <w:p w14:paraId="0765113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2.在模拟谈判中锻炼换位思考与协商能力，形成包容开放的心态。</w:t>
            </w:r>
          </w:p>
        </w:tc>
        <w:tc>
          <w:tcPr>
            <w:tcW w:w="1933" w:type="dxa"/>
            <w:vAlign w:val="center"/>
          </w:tcPr>
          <w:p w14:paraId="7CBBAB1A">
            <w:pPr>
              <w:keepNext/>
              <w:widowControl w:val="0"/>
              <w:snapToGrid w:val="0"/>
              <w:ind w:left="0" w:leftChars="0" w:right="0" w:righ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强化了适应市场竞争与行业变革的综合素养。</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树立了“终身学习”的理念，认识到唯有持续更新技术知识与职业技能，才能跟上行业发展步伐</w:t>
            </w:r>
            <w:r>
              <w:rPr>
                <w:rFonts w:hint="eastAsia" w:ascii="仿宋_GB2312" w:hAnsi="仿宋_GB2312" w:eastAsia="仿宋_GB2312" w:cs="仿宋_GB2312"/>
                <w:sz w:val="24"/>
                <w:szCs w:val="24"/>
                <w:lang w:eastAsia="zh-CN"/>
              </w:rPr>
              <w:t>。</w:t>
            </w:r>
          </w:p>
        </w:tc>
        <w:tc>
          <w:tcPr>
            <w:tcW w:w="817" w:type="dxa"/>
            <w:vAlign w:val="center"/>
          </w:tcPr>
          <w:p w14:paraId="79623A5F">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1DE09AC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3DC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330D538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3675E23F">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1-4新时代升华：绿色、智能、高质量发展的文化引领</w:t>
            </w:r>
          </w:p>
        </w:tc>
        <w:tc>
          <w:tcPr>
            <w:tcW w:w="2102" w:type="dxa"/>
            <w:vAlign w:val="center"/>
          </w:tcPr>
          <w:p w14:paraId="4F14A1A8">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1.明确新时代冶金人才在推动绿色制造与智能制造中的双重使命。</w:t>
            </w:r>
          </w:p>
          <w:p w14:paraId="148D010A">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2.培养绿色低碳的职业操守，树立“每一吨钢都关乎蓝天”的生态伦理观。</w:t>
            </w:r>
          </w:p>
        </w:tc>
        <w:tc>
          <w:tcPr>
            <w:tcW w:w="1647" w:type="dxa"/>
            <w:vAlign w:val="center"/>
          </w:tcPr>
          <w:p w14:paraId="5501E1C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1.理解个人操作行为与企业碳足迹的直接关联，自觉践行节能减排岗位承诺。</w:t>
            </w:r>
          </w:p>
          <w:p w14:paraId="272BDCB4">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2.强化数字素养与信息安全意识，抵制技术滥用、数据造假等不良行为。</w:t>
            </w:r>
          </w:p>
        </w:tc>
        <w:tc>
          <w:tcPr>
            <w:tcW w:w="1933" w:type="dxa"/>
            <w:vAlign w:val="center"/>
          </w:tcPr>
          <w:p w14:paraId="745571EE">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掌握</w:t>
            </w:r>
            <w:r>
              <w:rPr>
                <w:rFonts w:hint="eastAsia" w:ascii="仿宋_GB2312" w:hAnsi="仿宋_GB2312" w:eastAsia="仿宋_GB2312" w:cs="仿宋_GB2312"/>
                <w:sz w:val="24"/>
                <w:szCs w:val="24"/>
                <w:lang w:eastAsia="zh-CN"/>
              </w:rPr>
              <w:t>了</w:t>
            </w:r>
            <w:r>
              <w:rPr>
                <w:rFonts w:hint="eastAsia" w:ascii="仿宋_GB2312" w:hAnsi="仿宋_GB2312" w:eastAsia="仿宋_GB2312" w:cs="仿宋_GB2312"/>
                <w:sz w:val="24"/>
                <w:szCs w:val="24"/>
              </w:rPr>
              <w:t>绿色冶金的基本理念和核心要求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能主动将生态伦理观融入职业认知，认识到冶金工作者在守护生态环境中的重要作用。</w:t>
            </w:r>
          </w:p>
        </w:tc>
        <w:tc>
          <w:tcPr>
            <w:tcW w:w="817" w:type="dxa"/>
            <w:vAlign w:val="center"/>
          </w:tcPr>
          <w:p w14:paraId="0E649A39">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28F28E81">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14E1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0C777611">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2.钢铁企业文化的“基因底色”——为什么钢铁企业的文化不一样？</w:t>
            </w:r>
          </w:p>
        </w:tc>
        <w:tc>
          <w:tcPr>
            <w:tcW w:w="1062" w:type="dxa"/>
            <w:vAlign w:val="center"/>
          </w:tcPr>
          <w:p w14:paraId="05249766">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2-1工业文明的硬核气质</w:t>
            </w:r>
          </w:p>
        </w:tc>
        <w:tc>
          <w:tcPr>
            <w:tcW w:w="2102" w:type="dxa"/>
            <w:vAlign w:val="center"/>
          </w:tcPr>
          <w:p w14:paraId="1E3D4603">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深刻认识“钢铁是工业的骨骼”，它的本质是“与工业共生”，从近代工业革命到现代工业，钢铁的 “使命” 始终围绕“工业需求”迭代。2.了解国家在推动产业结构升级、实现“双碳”目标过程中出台的相关法律法规与政策导向。</w:t>
            </w:r>
          </w:p>
        </w:tc>
        <w:tc>
          <w:tcPr>
            <w:tcW w:w="1647" w:type="dxa"/>
            <w:vAlign w:val="center"/>
          </w:tcPr>
          <w:p w14:paraId="74CD9BA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1.将“工业骨骼”的“</w:t>
            </w:r>
            <w:r>
              <w:rPr>
                <w:rFonts w:hint="eastAsia" w:ascii="仿宋_GB2312" w:hAnsi="仿宋_GB2312" w:eastAsia="仿宋_GB2312" w:cs="仿宋_GB2312"/>
                <w:sz w:val="24"/>
                <w:szCs w:val="24"/>
                <w:lang w:val="en-US" w:eastAsia="zh-CN"/>
              </w:rPr>
              <w:t>重</w:t>
            </w:r>
            <w:r>
              <w:rPr>
                <w:rFonts w:hint="eastAsia" w:ascii="仿宋_GB2312" w:hAnsi="仿宋_GB2312" w:eastAsia="仿宋_GB2312" w:cs="仿宋_GB2312"/>
                <w:sz w:val="24"/>
                <w:szCs w:val="24"/>
              </w:rPr>
              <w:t>重性、延展性”转化为解决实际问题。</w:t>
            </w:r>
          </w:p>
          <w:p w14:paraId="0276068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2.增强民族自豪感与社会责任感，愿意将个人成长融入国家发展大局。</w:t>
            </w:r>
          </w:p>
        </w:tc>
        <w:tc>
          <w:tcPr>
            <w:tcW w:w="1933" w:type="dxa"/>
            <w:vAlign w:val="center"/>
          </w:tcPr>
          <w:p w14:paraId="3C4EC595">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1.深化了对钢铁工业“硬核价值”的认知，2.明确了其在工业文明与国家战略中的核心地位，3.实现了“政策理解-特性应用-责任融入”的能力闭环</w:t>
            </w:r>
          </w:p>
        </w:tc>
        <w:tc>
          <w:tcPr>
            <w:tcW w:w="817" w:type="dxa"/>
            <w:vAlign w:val="center"/>
          </w:tcPr>
          <w:p w14:paraId="3C788495">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69536C68">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B8F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71A6775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4E6BC2E3">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2-2钢铁生产的核心要求催生的文化</w:t>
            </w:r>
          </w:p>
        </w:tc>
        <w:tc>
          <w:tcPr>
            <w:tcW w:w="2102" w:type="dxa"/>
            <w:vAlign w:val="center"/>
          </w:tcPr>
          <w:p w14:paraId="7FC5C52D">
            <w:pPr>
              <w:keepNext/>
              <w:widowControl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1.掌握钢铁生产各环节核心风险点，明确风险等级及危害后果；2.了解上下游工序的核心需求，避免“各干各的、脱节断档”；3.精通本岗位工艺的核心参数和细节要求，理解“差之毫厘，谬以千里”的工艺逻辑。</w:t>
            </w:r>
          </w:p>
        </w:tc>
        <w:tc>
          <w:tcPr>
            <w:tcW w:w="1647" w:type="dxa"/>
            <w:vAlign w:val="center"/>
          </w:tcPr>
          <w:p w14:paraId="3063480A">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通过“看、听、测”，预判风险，主动采取防控措施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实现“精准衔接”，最大限度减少等待时间和能源消耗。3、将工艺要求转化为“毫米级”“克级”的精准操作。</w:t>
            </w:r>
          </w:p>
        </w:tc>
        <w:tc>
          <w:tcPr>
            <w:tcW w:w="1933" w:type="dxa"/>
            <w:vAlign w:val="center"/>
          </w:tcPr>
          <w:p w14:paraId="2908D85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1.深</w:t>
            </w:r>
            <w:r>
              <w:rPr>
                <w:rFonts w:hint="eastAsia" w:ascii="仿宋_GB2312" w:hAnsi="仿宋_GB2312" w:eastAsia="仿宋_GB2312" w:cs="仿宋_GB2312"/>
                <w:sz w:val="24"/>
                <w:szCs w:val="24"/>
              </w:rPr>
              <w:t>化了对钢铁生产风险管控、工序协同、工艺精度的系统认知，</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将知识转化为“风险主动防控、工序高效衔接、操作极致精准”的实践能力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形成“严谨、协同、精准、高效”的职业文化。</w:t>
            </w:r>
          </w:p>
        </w:tc>
        <w:tc>
          <w:tcPr>
            <w:tcW w:w="817" w:type="dxa"/>
            <w:vAlign w:val="center"/>
          </w:tcPr>
          <w:p w14:paraId="10BCFA0B">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620E7F84">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14CE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793909FA">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3.钢铁企业文化的“核心模块”——企业里的文化藏在哪里？</w:t>
            </w:r>
          </w:p>
        </w:tc>
        <w:tc>
          <w:tcPr>
            <w:tcW w:w="1062" w:type="dxa"/>
            <w:vAlign w:val="center"/>
          </w:tcPr>
          <w:p w14:paraId="3FCBCAB4">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3-1物质层文化——看得见的“文化载体”</w:t>
            </w:r>
          </w:p>
        </w:tc>
        <w:tc>
          <w:tcPr>
            <w:tcW w:w="2102" w:type="dxa"/>
            <w:vAlign w:val="center"/>
          </w:tcPr>
          <w:p w14:paraId="11BD4454">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1.了解厂区环境、生产设施、安全生产标识等设计的背后逻辑，认识规范操作的重要性。2.理解钢铁企业文化的核心价值观及其在制度与行为中的体现。</w:t>
            </w:r>
          </w:p>
        </w:tc>
        <w:tc>
          <w:tcPr>
            <w:tcW w:w="1647" w:type="dxa"/>
            <w:vAlign w:val="center"/>
          </w:tcPr>
          <w:p w14:paraId="1C39AAFE">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1.使学生将宏观企业文化与微观个体选择建立联系，实现价值内化。</w:t>
            </w:r>
          </w:p>
        </w:tc>
        <w:tc>
          <w:tcPr>
            <w:tcW w:w="1933" w:type="dxa"/>
            <w:vAlign w:val="center"/>
          </w:tcPr>
          <w:p w14:paraId="308790C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深化了对物质层文化设计逻辑的理解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明确了其对规范操作的支撑作用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清晰了企业文化核心价值观在制度与行为中的落地路径。</w:t>
            </w:r>
          </w:p>
        </w:tc>
        <w:tc>
          <w:tcPr>
            <w:tcW w:w="817" w:type="dxa"/>
            <w:vAlign w:val="center"/>
          </w:tcPr>
          <w:p w14:paraId="0E92308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48EAC3BB">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FF7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36E6F68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107A55AF">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3-2行为层文化——员工的“日常习惯”</w:t>
            </w:r>
          </w:p>
        </w:tc>
        <w:tc>
          <w:tcPr>
            <w:tcW w:w="2102" w:type="dxa"/>
            <w:vAlign w:val="center"/>
          </w:tcPr>
          <w:p w14:paraId="6CFCF5E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1.理解班前会安全宣誓、师徒制、集体活动等行为习惯如何承载企业文化内涵。</w:t>
            </w:r>
          </w:p>
          <w:p w14:paraId="1B02CF80">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2.领悟“工匠精神”在钢铁行业日常操作中的具体体现及其现实价值。</w:t>
            </w:r>
          </w:p>
        </w:tc>
        <w:tc>
          <w:tcPr>
            <w:tcW w:w="1647" w:type="dxa"/>
            <w:vAlign w:val="center"/>
          </w:tcPr>
          <w:p w14:paraId="29FBD2B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1.将企业员工的责任意识迁移到自身学习生活中，建立身份代入感与行动自觉。</w:t>
            </w:r>
          </w:p>
        </w:tc>
        <w:tc>
          <w:tcPr>
            <w:tcW w:w="1933" w:type="dxa"/>
            <w:vAlign w:val="center"/>
          </w:tcPr>
          <w:p w14:paraId="75D05A37">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1.理解了师徒制承载着传承企业文化、技能及价值观，传递工匠精神，确保企业传承与发展。2.成功将企业员工责任意识迁移至自身学习生活，形成行动自觉，注重自身修养与素质提升。</w:t>
            </w:r>
          </w:p>
        </w:tc>
        <w:tc>
          <w:tcPr>
            <w:tcW w:w="817" w:type="dxa"/>
            <w:vAlign w:val="center"/>
          </w:tcPr>
          <w:p w14:paraId="1FB9C56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68229A8E">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C6A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405620B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0D7459C0">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3-3制度层文化——支撑文化的“规则设计”</w:t>
            </w:r>
          </w:p>
        </w:tc>
        <w:tc>
          <w:tcPr>
            <w:tcW w:w="2102" w:type="dxa"/>
            <w:vAlign w:val="center"/>
          </w:tcPr>
          <w:p w14:paraId="7732F478">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1.明确每个人都是制度的参与者和受益者，增强在集体中履行责任的自觉性。</w:t>
            </w:r>
          </w:p>
          <w:p w14:paraId="741446D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2.在案例分析中体会制度对集体安全与效率的保障作用，强化社会责任认知。</w:t>
            </w:r>
          </w:p>
        </w:tc>
        <w:tc>
          <w:tcPr>
            <w:tcW w:w="1647" w:type="dxa"/>
            <w:vAlign w:val="center"/>
          </w:tcPr>
          <w:p w14:paraId="4558FEFC">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1.感受企业通过制度建设推动高质量发展的实践路径，能够将制度优势转化为治理效能。</w:t>
            </w:r>
          </w:p>
        </w:tc>
        <w:tc>
          <w:tcPr>
            <w:tcW w:w="1933" w:type="dxa"/>
            <w:vAlign w:val="center"/>
          </w:tcPr>
          <w:p w14:paraId="6C4E87B3">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1.通过案例分析，体会到制度对集体安全与效率具有保障作用，强化了社会责任认知。</w:t>
            </w:r>
          </w:p>
        </w:tc>
        <w:tc>
          <w:tcPr>
            <w:tcW w:w="817" w:type="dxa"/>
            <w:vAlign w:val="center"/>
          </w:tcPr>
          <w:p w14:paraId="0EAE84D5">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1AB878F1">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A51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1D6602E2">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7D2C19F0">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3-4精神层文化——企业的“灵魂”</w:t>
            </w:r>
          </w:p>
        </w:tc>
        <w:tc>
          <w:tcPr>
            <w:tcW w:w="2102" w:type="dxa"/>
            <w:vAlign w:val="center"/>
          </w:tcPr>
          <w:p w14:paraId="0E0663CD">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1.掌握企业文化“精神—制度—行为—物质”四层次的内在逻辑闭环。</w:t>
            </w:r>
          </w:p>
          <w:p w14:paraId="7DF0BBE2">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2.分析某钢铁企业在“绿色化、智能化、高端化”转型中文化升级的核心矛盾。</w:t>
            </w:r>
          </w:p>
        </w:tc>
        <w:tc>
          <w:tcPr>
            <w:tcW w:w="1647" w:type="dxa"/>
            <w:vAlign w:val="center"/>
          </w:tcPr>
          <w:p w14:paraId="20D7BACD">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1.能够设计出符合逻辑、切实可行的文化协同优化路径。</w:t>
            </w:r>
          </w:p>
          <w:p w14:paraId="52A53AC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2.主动思考如何在未来职业中传承工匠精神、参与企业文化建设，承担时代赋予的责任。</w:t>
            </w:r>
          </w:p>
        </w:tc>
        <w:tc>
          <w:tcPr>
            <w:tcW w:w="1933" w:type="dxa"/>
            <w:vAlign w:val="center"/>
          </w:tcPr>
          <w:p w14:paraId="59122717">
            <w:pPr>
              <w:keepNext/>
              <w:keepLines w:val="0"/>
              <w:widowControl/>
              <w:suppressLineNumbers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1.能够结合未来职业规划，主动思考并阐述在职业岗位中传承工匠精神的具体路径</w:t>
            </w:r>
            <w:r>
              <w:rPr>
                <w:rFonts w:hint="eastAsia" w:ascii="仿宋_GB2312" w:hAnsi="仿宋_GB2312" w:eastAsia="仿宋_GB2312" w:cs="仿宋_GB2312"/>
                <w:kern w:val="0"/>
                <w:sz w:val="24"/>
                <w:szCs w:val="24"/>
                <w:lang w:val="en-US" w:eastAsia="zh-CN" w:bidi="ar"/>
              </w:rPr>
              <w:t>以及参与企业文化建设的实践方式，明确自身在企业转型与文化建设中应承担的时代责任。</w:t>
            </w:r>
          </w:p>
          <w:p w14:paraId="7624994D">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p>
        </w:tc>
        <w:tc>
          <w:tcPr>
            <w:tcW w:w="817" w:type="dxa"/>
            <w:vAlign w:val="center"/>
          </w:tcPr>
          <w:p w14:paraId="4E1AC2D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76262A42">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AFF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292BECA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4.钢铁企业文化的“创新”——怎么让文化“活起来”？</w:t>
            </w:r>
          </w:p>
        </w:tc>
        <w:tc>
          <w:tcPr>
            <w:tcW w:w="1062" w:type="dxa"/>
            <w:vAlign w:val="center"/>
          </w:tcPr>
          <w:p w14:paraId="72C7F280">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4-1年轻化表达——让钢铁文化在“共鸣”中贴近人心</w:t>
            </w:r>
          </w:p>
        </w:tc>
        <w:tc>
          <w:tcPr>
            <w:tcW w:w="2102" w:type="dxa"/>
            <w:vAlign w:val="center"/>
          </w:tcPr>
          <w:p w14:paraId="6BA496F0">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1.理解钢铁企业文化的精神内核及其在新时代的表达方式创新。</w:t>
            </w:r>
          </w:p>
          <w:p w14:paraId="1A827D4E">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2.掌握“年轻化表达”与“数字化赋能”对企业文化活化的关键作用。</w:t>
            </w:r>
          </w:p>
        </w:tc>
        <w:tc>
          <w:tcPr>
            <w:tcW w:w="1647" w:type="dxa"/>
            <w:vAlign w:val="center"/>
          </w:tcPr>
          <w:p w14:paraId="4CC492E9">
            <w:pPr>
              <w:keepNext/>
              <w:keepLines w:val="0"/>
              <w:widowControl/>
              <w:suppressLineNumbers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1.能够结合自身实际，提出具有可行性的文化实践方案。</w:t>
            </w:r>
          </w:p>
        </w:tc>
        <w:tc>
          <w:tcPr>
            <w:tcW w:w="1933" w:type="dxa"/>
            <w:vAlign w:val="center"/>
          </w:tcPr>
          <w:p w14:paraId="47192A52">
            <w:pPr>
              <w:keepNext/>
              <w:keepLines w:val="0"/>
              <w:widowControl/>
              <w:suppressLineNumbers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1.深刻认识到“年轻化表达”是钢铁企业文化贴近年轻群体的桥梁，“数字化赋能”则为企业文化活化提供了技术支撑。</w:t>
            </w:r>
          </w:p>
          <w:p w14:paraId="66D96F64">
            <w:pPr>
              <w:keepNext/>
              <w:keepLines w:val="0"/>
              <w:widowControl/>
              <w:suppressLineNumbers w:val="0"/>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2.能够结合自身实际及对钢铁文化的理解，提出具有可行性的文化实践方案。</w:t>
            </w:r>
          </w:p>
        </w:tc>
        <w:tc>
          <w:tcPr>
            <w:tcW w:w="817" w:type="dxa"/>
            <w:vAlign w:val="center"/>
          </w:tcPr>
          <w:p w14:paraId="4CA97ABF">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0F248F41">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8B4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33E33CBC">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53DDCF5B">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4-2数字化赋能——让钢铁文化在“沉浸”中深入人心</w:t>
            </w:r>
          </w:p>
        </w:tc>
        <w:tc>
          <w:tcPr>
            <w:tcW w:w="2102" w:type="dxa"/>
            <w:vAlign w:val="center"/>
          </w:tcPr>
          <w:p w14:paraId="0C51C3C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1.理解企业文化从“认知”到“践行”的转化路径，掌握长效激励机制的设计逻辑。</w:t>
            </w:r>
          </w:p>
          <w:p w14:paraId="2A23A83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2.突破“纸上谈兵”，让学生真正投入情感与智慧完成文化产品创作。</w:t>
            </w:r>
          </w:p>
        </w:tc>
        <w:tc>
          <w:tcPr>
            <w:tcW w:w="1647" w:type="dxa"/>
            <w:vAlign w:val="center"/>
          </w:tcPr>
          <w:p w14:paraId="400F0873">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1.将个人岗位行为与组织发展目标关联，形成“小我融入大我”的责任认知。</w:t>
            </w:r>
          </w:p>
          <w:p w14:paraId="4614EF6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2.能够设计可落地的文化实践方案，解决真实问题。</w:t>
            </w:r>
          </w:p>
        </w:tc>
        <w:tc>
          <w:tcPr>
            <w:tcW w:w="1933" w:type="dxa"/>
            <w:vAlign w:val="center"/>
          </w:tcPr>
          <w:p w14:paraId="3EA59F17">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1.理解了长效激励机制设计逻辑，可构建物质、精神、发展三维度钢铁文化激励体系，明确不同场景适用方式。2.具备了岗位与企业核心目标的关联分析能力，能够撰写岗位文化践行承诺书，明确个人行动方向。</w:t>
            </w:r>
          </w:p>
        </w:tc>
        <w:tc>
          <w:tcPr>
            <w:tcW w:w="817" w:type="dxa"/>
            <w:vAlign w:val="center"/>
          </w:tcPr>
          <w:p w14:paraId="453FC1A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40B76A40">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8DA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1CABD1C5">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5.钢铁文化的“落地与岗位践行”——“到了企业，我该怎么做？”</w:t>
            </w:r>
          </w:p>
        </w:tc>
        <w:tc>
          <w:tcPr>
            <w:tcW w:w="1062" w:type="dxa"/>
            <w:vAlign w:val="center"/>
          </w:tcPr>
          <w:p w14:paraId="4D70EA7A">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5-1不同岗位的“文化要求”</w:t>
            </w:r>
          </w:p>
        </w:tc>
        <w:tc>
          <w:tcPr>
            <w:tcW w:w="2102" w:type="dxa"/>
            <w:vAlign w:val="center"/>
          </w:tcPr>
          <w:p w14:paraId="33703DA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1.理解“炉温即责任”“精</w:t>
            </w:r>
            <w:r>
              <w:rPr>
                <w:rFonts w:hint="eastAsia" w:ascii="仿宋_GB2312" w:hAnsi="仿宋_GB2312" w:eastAsia="仿宋_GB2312" w:cs="仿宋_GB2312"/>
                <w:sz w:val="24"/>
                <w:szCs w:val="24"/>
                <w:lang w:val="en-US" w:eastAsia="zh-CN"/>
              </w:rPr>
              <w:t>度</w:t>
            </w:r>
            <w:r>
              <w:rPr>
                <w:rFonts w:hint="eastAsia" w:ascii="仿宋_GB2312" w:hAnsi="仿宋_GB2312" w:eastAsia="仿宋_GB2312" w:cs="仿宋_GB2312"/>
                <w:sz w:val="24"/>
                <w:szCs w:val="24"/>
              </w:rPr>
              <w:t>即尊严”“隐患即事故”三类岗位文化的核心内涵及其对企业发展的现实意义。</w:t>
            </w:r>
          </w:p>
          <w:p w14:paraId="787EE57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2.认识岗位文化是企业文化在基层的具象化表达，掌握其与质量、安全、效率之间的内在联系。</w:t>
            </w:r>
          </w:p>
        </w:tc>
        <w:tc>
          <w:tcPr>
            <w:tcW w:w="1647" w:type="dxa"/>
            <w:vAlign w:val="center"/>
          </w:tcPr>
          <w:p w14:paraId="54F093E3">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1.使学生能够将抽象的职业道德（如责任、尊严）与具体的生产操作细节建立心理关联。</w:t>
            </w:r>
          </w:p>
        </w:tc>
        <w:tc>
          <w:tcPr>
            <w:tcW w:w="1933" w:type="dxa"/>
            <w:vAlign w:val="center"/>
          </w:tcPr>
          <w:p w14:paraId="241385FE">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1.能够将“责任”“尊严”等抽象职业道德与具体岗位的“炉温控制、精度调整、隐患排查”等操作细节深度绑定。2.实现了从“知道文化”到“认同文化”再到“践行文化”的能力提升。</w:t>
            </w:r>
          </w:p>
        </w:tc>
        <w:tc>
          <w:tcPr>
            <w:tcW w:w="817" w:type="dxa"/>
            <w:vAlign w:val="center"/>
          </w:tcPr>
          <w:p w14:paraId="0C5033CE">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17" w:type="dxa"/>
            <w:vAlign w:val="center"/>
          </w:tcPr>
          <w:p w14:paraId="2448039D">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E9D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3FAA26B5">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4B8C7008">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5-2新员工的“文化适应”</w:t>
            </w:r>
          </w:p>
        </w:tc>
        <w:tc>
          <w:tcPr>
            <w:tcW w:w="2102" w:type="dxa"/>
            <w:vAlign w:val="center"/>
          </w:tcPr>
          <w:p w14:paraId="1B9C9881">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1.理解企业文化在钢铁生产场景中的具体表现形式及其现实意义。</w:t>
            </w:r>
          </w:p>
          <w:p w14:paraId="5936ABD3">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2.掌握新员工快速融入岗位文化的三个关键路径：培训体系、沟通方式、潜规则认知。</w:t>
            </w:r>
          </w:p>
        </w:tc>
        <w:tc>
          <w:tcPr>
            <w:tcW w:w="1647" w:type="dxa"/>
            <w:vAlign w:val="center"/>
          </w:tcPr>
          <w:p w14:paraId="6275B88A">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1.能够识别不同岗位场景下的文化信号，如师傅的言传身教、工具归位习惯等。</w:t>
            </w:r>
          </w:p>
          <w:p w14:paraId="7C30E8A7">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2.初步掌握将企业文化要求转化为具体工作行动的方法路径。</w:t>
            </w:r>
          </w:p>
        </w:tc>
        <w:tc>
          <w:tcPr>
            <w:tcW w:w="1933" w:type="dxa"/>
            <w:vAlign w:val="center"/>
          </w:tcPr>
          <w:p w14:paraId="70CA664A">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1.能够从“被动适应”转为“主动融入”，将企业文化要求（如责任、精度、安全）转化为“操作中的自觉行为”，快速成长为“懂文化、会操作、能担当”的岗位能手。</w:t>
            </w:r>
          </w:p>
        </w:tc>
        <w:tc>
          <w:tcPr>
            <w:tcW w:w="817" w:type="dxa"/>
            <w:vAlign w:val="center"/>
          </w:tcPr>
          <w:p w14:paraId="6012F159">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5F35A813">
            <w:pPr>
              <w:keepNext/>
              <w:widowControl w:val="0"/>
              <w:snapToGrid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8A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restart"/>
            <w:vAlign w:val="center"/>
          </w:tcPr>
          <w:p w14:paraId="3E65F1C1">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6.案例库——不同类型钢铁企业的文化样本</w:t>
            </w:r>
          </w:p>
        </w:tc>
        <w:tc>
          <w:tcPr>
            <w:tcW w:w="1062" w:type="dxa"/>
            <w:vAlign w:val="center"/>
          </w:tcPr>
          <w:p w14:paraId="76D8511B">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6-1中国宝武钢铁集团有限公司</w:t>
            </w:r>
          </w:p>
        </w:tc>
        <w:tc>
          <w:tcPr>
            <w:tcW w:w="2102" w:type="dxa"/>
            <w:vAlign w:val="center"/>
          </w:tcPr>
          <w:p w14:paraId="2DAF524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1.理解中国宝武作为国有企业的战略定位及其在推动高质量发展中的核心功能。</w:t>
            </w:r>
          </w:p>
          <w:p w14:paraId="3936A0B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2.领会“钢铁报国、开放融合、严格苛求、铸就强大”的企业精神内涵。</w:t>
            </w:r>
          </w:p>
        </w:tc>
        <w:tc>
          <w:tcPr>
            <w:tcW w:w="1647" w:type="dxa"/>
            <w:vAlign w:val="center"/>
          </w:tcPr>
          <w:p w14:paraId="18F773BD">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1.认识到青年一代在未来产业发展中的使命担当，能够将个人成长融入国家发展大局。</w:t>
            </w:r>
          </w:p>
          <w:p w14:paraId="659CBFA4">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2.理解诚信、协同、共享的价值理念在企业发展中的实践意义，提升个人道德判断力。</w:t>
            </w:r>
          </w:p>
        </w:tc>
        <w:tc>
          <w:tcPr>
            <w:tcW w:w="1933" w:type="dxa"/>
            <w:vAlign w:val="center"/>
          </w:tcPr>
          <w:p w14:paraId="537CAC57">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1.通过学习中国宝武的战略定位、企业精神及价值理念，能够深刻认识到“钢铁报国”是企业的初心、“创新融合”是发展的动力、“严格苛求”是质量的保障、“铸就强大”是未来的方向。</w:t>
            </w:r>
          </w:p>
        </w:tc>
        <w:tc>
          <w:tcPr>
            <w:tcW w:w="817" w:type="dxa"/>
            <w:vAlign w:val="center"/>
          </w:tcPr>
          <w:p w14:paraId="60537D22">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0784B2A2">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884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35243EA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632815B7">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6-2鞍钢集团有限公司</w:t>
            </w:r>
          </w:p>
        </w:tc>
        <w:tc>
          <w:tcPr>
            <w:tcW w:w="2102" w:type="dxa"/>
            <w:vAlign w:val="center"/>
          </w:tcPr>
          <w:p w14:paraId="73C2E2F1">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1.鞍钢的发展历程及其在国家重大工程中的贡献，体现国有企业的战略支撑作用。</w:t>
            </w:r>
          </w:p>
          <w:p w14:paraId="72C1333A">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2.“鞍钢宪法”精神与劳动模范事迹所蕴含的社会主义核心价值观。</w:t>
            </w:r>
          </w:p>
        </w:tc>
        <w:tc>
          <w:tcPr>
            <w:tcW w:w="1647" w:type="dxa"/>
            <w:vAlign w:val="center"/>
          </w:tcPr>
          <w:p w14:paraId="34550120">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1.能够在合作探究中提升沟通协作能力，在价值辨析中增强独立思考与判断力。</w:t>
            </w:r>
          </w:p>
          <w:p w14:paraId="22FE673D">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2.明确新时代青少年应肩负的责任，能够将个人成长融入国家发展大局。</w:t>
            </w:r>
          </w:p>
        </w:tc>
        <w:tc>
          <w:tcPr>
            <w:tcW w:w="1933" w:type="dxa"/>
            <w:vAlign w:val="center"/>
          </w:tcPr>
          <w:p w14:paraId="340CA5E3">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1.深刻认识了到国有企业“顶梁柱”的战略地位，理解“鞍钢宪法”与劳动模范精神中蕴含的“爱国、敬业、创新”等社会主义核心价值观。2.明确了新时代青少年需以“劳动创造价值、创新驱动发展”为使命。</w:t>
            </w:r>
          </w:p>
        </w:tc>
        <w:tc>
          <w:tcPr>
            <w:tcW w:w="817" w:type="dxa"/>
            <w:vAlign w:val="center"/>
          </w:tcPr>
          <w:p w14:paraId="20A3A8E3">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0954CE45">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3A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66D69714">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2C949195">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6-3日照钢铁控股集团有限公司</w:t>
            </w:r>
          </w:p>
        </w:tc>
        <w:tc>
          <w:tcPr>
            <w:tcW w:w="2102" w:type="dxa"/>
            <w:vAlign w:val="center"/>
          </w:tcPr>
          <w:p w14:paraId="4500624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1.理解日照钢铁在技术创新、绿色发展、智能制造方面的具体举措及其意义。</w:t>
            </w:r>
          </w:p>
          <w:p w14:paraId="691440F5">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2.感悟劳动模范身上体现出的工匠精神与责任担当。</w:t>
            </w:r>
          </w:p>
        </w:tc>
        <w:tc>
          <w:tcPr>
            <w:tcW w:w="1647" w:type="dxa"/>
            <w:vAlign w:val="center"/>
          </w:tcPr>
          <w:p w14:paraId="757ECB1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1.学习郭春力等劳模坚韧不拔、精益求精的意志品质，塑造积极进取的人生态度。</w:t>
            </w:r>
          </w:p>
          <w:p w14:paraId="5EC97302">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2.能够在合作探究中提升沟通协作能力，培养团队精神。</w:t>
            </w:r>
          </w:p>
        </w:tc>
        <w:tc>
          <w:tcPr>
            <w:tcW w:w="1933" w:type="dxa"/>
            <w:vAlign w:val="center"/>
          </w:tcPr>
          <w:p w14:paraId="6573FA5F">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1.理解了“技术是根基、绿色是底线、智能是未来”的企业发展逻辑。2.在郭春力“坚韧不拔、精益求精”的精神引领下，塑造了“迎难而上、追求极致”的人生态度。</w:t>
            </w:r>
          </w:p>
        </w:tc>
        <w:tc>
          <w:tcPr>
            <w:tcW w:w="817" w:type="dxa"/>
            <w:vAlign w:val="center"/>
          </w:tcPr>
          <w:p w14:paraId="70A44308">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65D6E893">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A86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41AB2103">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shd w:val="clear" w:color="auto" w:fill="auto"/>
            <w:vAlign w:val="center"/>
          </w:tcPr>
          <w:p w14:paraId="16270AE8">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6-4江苏沙钢集团有限公司</w:t>
            </w:r>
          </w:p>
        </w:tc>
        <w:tc>
          <w:tcPr>
            <w:tcW w:w="2102" w:type="dxa"/>
            <w:vAlign w:val="center"/>
          </w:tcPr>
          <w:p w14:paraId="2CA01A4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1.掌握沙钢集团的发展历</w:t>
            </w:r>
            <w:bookmarkStart w:id="7" w:name="_GoBack"/>
            <w:bookmarkEnd w:id="7"/>
            <w:r>
              <w:rPr>
                <w:rFonts w:hint="eastAsia" w:ascii="仿宋_GB2312" w:hAnsi="仿宋_GB2312" w:eastAsia="仿宋_GB2312" w:cs="仿宋_GB2312"/>
                <w:sz w:val="24"/>
                <w:szCs w:val="24"/>
              </w:rPr>
              <w:t>程及其在中国钢铁工业中的地位。</w:t>
            </w:r>
          </w:p>
          <w:p w14:paraId="05004001">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2.理解“自力更生、艰苦奋斗、勇于创新、不断登攀”的企业精神内涵。</w:t>
            </w:r>
          </w:p>
        </w:tc>
        <w:tc>
          <w:tcPr>
            <w:tcW w:w="1647" w:type="dxa"/>
            <w:vAlign w:val="center"/>
          </w:tcPr>
          <w:p w14:paraId="16EF263D">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1.理解“团结、勤奋、严谨、求实”的厂风内涵，提升个人行为规范。</w:t>
            </w:r>
          </w:p>
          <w:p w14:paraId="68D361B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2.从陈希云等劳模身上汲取奋进力量，塑造积极进取的人格特质。</w:t>
            </w:r>
          </w:p>
        </w:tc>
        <w:tc>
          <w:tcPr>
            <w:tcW w:w="1933" w:type="dxa"/>
            <w:vAlign w:val="center"/>
          </w:tcPr>
          <w:p w14:paraId="381379AD">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认识到了“民营钢企”的创新活力与责任担当，理解了“自力更生、艰苦奋斗”是企业成长的根基，“勇于创新、不断登攀”是持续发展的动力。2.从陈希云等劳模身上汲取“较真、奉献、创新”的力量，塑造了“积极进取、追求卓越”的人格特质。</w:t>
            </w:r>
          </w:p>
        </w:tc>
        <w:tc>
          <w:tcPr>
            <w:tcW w:w="817" w:type="dxa"/>
            <w:vAlign w:val="center"/>
          </w:tcPr>
          <w:p w14:paraId="3B13CCDD">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048FDEB9">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96D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1C79B39B">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49E400B5">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6-5首钢京唐钢铁联合有限责任公司</w:t>
            </w:r>
          </w:p>
        </w:tc>
        <w:tc>
          <w:tcPr>
            <w:tcW w:w="2102" w:type="dxa"/>
            <w:vAlign w:val="center"/>
          </w:tcPr>
          <w:p w14:paraId="2D8328A2">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1.首钢京唐公司的区位优势及其形成原因。</w:t>
            </w:r>
          </w:p>
          <w:p w14:paraId="7942B10F">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2.首钢京唐在固废资源化与碳减排方面的具体措施。</w:t>
            </w:r>
          </w:p>
        </w:tc>
        <w:tc>
          <w:tcPr>
            <w:tcW w:w="1647" w:type="dxa"/>
            <w:vAlign w:val="center"/>
          </w:tcPr>
          <w:p w14:paraId="7FC00F6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1.模拟环保工程师角色，提出可行的节能降耗改进建议。</w:t>
            </w:r>
          </w:p>
          <w:p w14:paraId="49B345F6">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2.将企业绿色发展经验迁移到日常生活行为中。</w:t>
            </w:r>
          </w:p>
        </w:tc>
        <w:tc>
          <w:tcPr>
            <w:tcW w:w="1933" w:type="dxa"/>
            <w:vAlign w:val="center"/>
          </w:tcPr>
          <w:p w14:paraId="29A01EA4">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1.掌握了“固废全利用、碳减排全链条”的行业标杆经验。2.通过生活行为迁移，将企业“绿色基因”转化为个人“低碳习惯”，实现“企业发展与个人行动”的价值共鸣。</w:t>
            </w:r>
          </w:p>
        </w:tc>
        <w:tc>
          <w:tcPr>
            <w:tcW w:w="817" w:type="dxa"/>
            <w:vAlign w:val="center"/>
          </w:tcPr>
          <w:p w14:paraId="2A6A5F42">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4659A09F">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970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43" w:type="dxa"/>
            <w:vMerge w:val="continue"/>
            <w:vAlign w:val="center"/>
          </w:tcPr>
          <w:p w14:paraId="779AD44E">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p>
        </w:tc>
        <w:tc>
          <w:tcPr>
            <w:tcW w:w="1062" w:type="dxa"/>
            <w:vAlign w:val="center"/>
          </w:tcPr>
          <w:p w14:paraId="7D59A629">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6-6中信泰富特钢集团股份有限公司</w:t>
            </w:r>
          </w:p>
        </w:tc>
        <w:tc>
          <w:tcPr>
            <w:tcW w:w="2102" w:type="dxa"/>
            <w:vAlign w:val="center"/>
          </w:tcPr>
          <w:p w14:paraId="4C5E5241">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1.理解中信泰富特钢的企业文化理念及其对企业发展的作用。</w:t>
            </w:r>
          </w:p>
          <w:p w14:paraId="10680842">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2.掌握“文化—战略—生产”三者之间的内在逻辑关系。</w:t>
            </w:r>
          </w:p>
        </w:tc>
        <w:tc>
          <w:tcPr>
            <w:tcW w:w="1647" w:type="dxa"/>
            <w:vAlign w:val="center"/>
          </w:tcPr>
          <w:p w14:paraId="56C599F5">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1.明确个人成长与国家发展的紧密联系，增强服务社会、报效祖国的责任感。</w:t>
            </w:r>
          </w:p>
          <w:p w14:paraId="6B6C83F9">
            <w:pPr>
              <w:keepNext/>
              <w:widowControl w:val="0"/>
              <w:snapToGrid w:val="0"/>
              <w:ind w:left="0" w:leftChars="0" w:right="0" w:righ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2.能够结合自身实际思考未来职业选择，立志成为新时代高素质劳动者。</w:t>
            </w:r>
          </w:p>
        </w:tc>
        <w:tc>
          <w:tcPr>
            <w:tcW w:w="1933" w:type="dxa"/>
            <w:vAlign w:val="center"/>
          </w:tcPr>
          <w:p w14:paraId="39A07480">
            <w:pPr>
              <w:keepNext/>
              <w:widowControl w:val="0"/>
              <w:snapToGrid w:val="0"/>
              <w:ind w:left="0" w:leftChars="0" w:right="0" w:righ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通过学习中信泰富特钢的企业文化与发展逻辑，理解了“文化引领战略、战略驱动生产、生产反哺文化”的闭环，认识到特钢行业是国家“高端制造自主可控”的核心领域。2.在“特钢报国”使命的感召下，立志以“高素质劳动者”的标准要求自己，在服务国家特钢事业中实现人生价值。</w:t>
            </w:r>
          </w:p>
        </w:tc>
        <w:tc>
          <w:tcPr>
            <w:tcW w:w="817" w:type="dxa"/>
            <w:vAlign w:val="center"/>
          </w:tcPr>
          <w:p w14:paraId="6322C864">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17" w:type="dxa"/>
            <w:vAlign w:val="center"/>
          </w:tcPr>
          <w:p w14:paraId="1F316598">
            <w:pPr>
              <w:keepNext/>
              <w:widowControl w:val="0"/>
              <w:snapToGrid w:val="0"/>
              <w:ind w:left="0" w:leftChars="0" w:right="0" w:righ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4908A7BE">
      <w:pPr>
        <w:numPr>
          <w:ilvl w:val="0"/>
          <w:numId w:val="3"/>
        </w:numPr>
        <w:rPr>
          <w:rFonts w:hint="eastAsia" w:ascii="黑体" w:hAnsi="黑体" w:eastAsia="黑体" w:cs="黑体"/>
        </w:rPr>
      </w:pPr>
      <w:r>
        <w:rPr>
          <w:rFonts w:hint="eastAsia" w:ascii="黑体" w:hAnsi="黑体" w:eastAsia="黑体" w:cs="黑体"/>
        </w:rPr>
        <w:t>教学方法与手段</w:t>
      </w:r>
    </w:p>
    <w:p w14:paraId="7F12A4A1">
      <w:pPr>
        <w:pStyle w:val="13"/>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本课程采用“任务驱动+项目导向+情境模拟+多元评价”的综合教学策略，以学生为中心，强调“做中学、学中悟、悟中行”。教学过程分为“课前预习—课中探究—课后拓展”三个阶段：</w:t>
      </w:r>
    </w:p>
    <w:p w14:paraId="3B8BBB77">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课前：</w:t>
      </w:r>
      <w:r>
        <w:rPr>
          <w:rFonts w:hint="eastAsia" w:ascii="仿宋_GB2312" w:hAnsi="仿宋_GB2312" w:eastAsia="仿宋_GB2312" w:cs="仿宋_GB2312"/>
          <w:sz w:val="28"/>
          <w:szCs w:val="28"/>
        </w:rPr>
        <w:t>通过在线学习平台发布微课视频、阅读材料与预习任务单，引导学生自主学习基础知识，初步建立文化认知框架。</w:t>
      </w:r>
    </w:p>
    <w:p w14:paraId="0E1F08CB">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课中：</w:t>
      </w:r>
      <w:r>
        <w:rPr>
          <w:rFonts w:hint="eastAsia" w:ascii="仿宋_GB2312" w:hAnsi="仿宋_GB2312" w:eastAsia="仿宋_GB2312" w:cs="仿宋_GB2312"/>
          <w:sz w:val="28"/>
          <w:szCs w:val="28"/>
        </w:rPr>
        <w:t>以“一个案例、一个任务、一次体验”为核心，通过角色扮演、小组讨论、实验操作、模拟答辩等形式，将抽象的文化理念转化</w:t>
      </w:r>
      <w:r>
        <w:rPr>
          <w:rFonts w:hint="eastAsia" w:ascii="仿宋_GB2312" w:hAnsi="仿宋_GB2312" w:eastAsia="仿宋_GB2312" w:cs="仿宋_GB2312"/>
          <w:sz w:val="28"/>
          <w:szCs w:val="28"/>
          <w:lang w:eastAsia="zh-CN"/>
        </w:rPr>
        <w:t>。</w:t>
      </w:r>
    </w:p>
    <w:p w14:paraId="36AC7715">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课后：</w:t>
      </w:r>
      <w:r>
        <w:rPr>
          <w:rFonts w:hint="eastAsia" w:ascii="仿宋_GB2312" w:hAnsi="仿宋_GB2312" w:eastAsia="仿宋_GB2312" w:cs="仿宋_GB2312"/>
          <w:sz w:val="28"/>
          <w:szCs w:val="28"/>
        </w:rPr>
        <w:t>布置开放性作业，如“设计岗位文化践行卡”“撰写岗位故事”“拍摄微视频”，鼓励学生将所学应用于真实生活，实现从“知道”到“做到”的跨越。</w:t>
      </w:r>
    </w:p>
    <w:tbl>
      <w:tblPr>
        <w:tblStyle w:val="15"/>
        <w:tblW w:w="8832" w:type="dxa"/>
        <w:jc w:val="center"/>
        <w:tblLayout w:type="fixed"/>
        <w:tblCellMar>
          <w:top w:w="56" w:type="dxa"/>
          <w:left w:w="96" w:type="dxa"/>
          <w:bottom w:w="56" w:type="dxa"/>
          <w:right w:w="96" w:type="dxa"/>
        </w:tblCellMar>
      </w:tblPr>
      <w:tblGrid>
        <w:gridCol w:w="1415"/>
        <w:gridCol w:w="1574"/>
        <w:gridCol w:w="3093"/>
        <w:gridCol w:w="2750"/>
      </w:tblGrid>
      <w:tr w14:paraId="5B2C7ECB">
        <w:tblPrEx>
          <w:tblCellMar>
            <w:top w:w="56" w:type="dxa"/>
            <w:left w:w="96" w:type="dxa"/>
            <w:bottom w:w="56" w:type="dxa"/>
            <w:right w:w="96" w:type="dxa"/>
          </w:tblCellMar>
        </w:tblPrEx>
        <w:trPr>
          <w:trHeight w:val="0" w:hRule="atLeast"/>
          <w:tblHeader/>
          <w:jc w:val="center"/>
        </w:trPr>
        <w:tc>
          <w:tcPr>
            <w:tcW w:w="883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14:paraId="39EEA0A1">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课程教学方法与手段选用表</w:t>
            </w:r>
          </w:p>
        </w:tc>
      </w:tr>
      <w:tr w14:paraId="712F2D89">
        <w:tblPrEx>
          <w:tblCellMar>
            <w:top w:w="56" w:type="dxa"/>
            <w:left w:w="96" w:type="dxa"/>
            <w:bottom w:w="56" w:type="dxa"/>
            <w:right w:w="96" w:type="dxa"/>
          </w:tblCellMar>
        </w:tblPrEx>
        <w:trPr>
          <w:trHeight w:val="0" w:hRule="atLeast"/>
          <w:tblHeader/>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4450328E">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教学方式</w:t>
            </w:r>
          </w:p>
        </w:tc>
        <w:tc>
          <w:tcPr>
            <w:tcW w:w="1574" w:type="dxa"/>
            <w:tcBorders>
              <w:top w:val="single" w:color="000000" w:sz="4" w:space="0"/>
              <w:left w:val="single" w:color="000000" w:sz="4" w:space="0"/>
              <w:bottom w:val="single" w:color="000000" w:sz="4" w:space="0"/>
              <w:right w:val="single" w:color="000000" w:sz="4" w:space="0"/>
            </w:tcBorders>
            <w:vAlign w:val="center"/>
          </w:tcPr>
          <w:p w14:paraId="77ABF821">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教学方法</w:t>
            </w:r>
          </w:p>
        </w:tc>
        <w:tc>
          <w:tcPr>
            <w:tcW w:w="3093" w:type="dxa"/>
            <w:tcBorders>
              <w:top w:val="single" w:color="000000" w:sz="4" w:space="0"/>
              <w:left w:val="single" w:color="000000" w:sz="4" w:space="0"/>
              <w:bottom w:val="single" w:color="000000" w:sz="4" w:space="0"/>
              <w:right w:val="single" w:color="000000" w:sz="4" w:space="0"/>
            </w:tcBorders>
            <w:vAlign w:val="center"/>
          </w:tcPr>
          <w:p w14:paraId="1E02804B">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教学手段与资源</w:t>
            </w:r>
          </w:p>
        </w:tc>
        <w:tc>
          <w:tcPr>
            <w:tcW w:w="2750" w:type="dxa"/>
            <w:tcBorders>
              <w:top w:val="single" w:color="000000" w:sz="4" w:space="0"/>
              <w:left w:val="single" w:color="000000" w:sz="4" w:space="0"/>
              <w:bottom w:val="single" w:color="000000" w:sz="4" w:space="0"/>
              <w:right w:val="single" w:color="000000" w:sz="4" w:space="0"/>
            </w:tcBorders>
            <w:vAlign w:val="center"/>
          </w:tcPr>
          <w:p w14:paraId="47469ED8">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使用目的</w:t>
            </w:r>
          </w:p>
        </w:tc>
      </w:tr>
      <w:tr w14:paraId="60B2C9B5">
        <w:tblPrEx>
          <w:tblCellMar>
            <w:top w:w="56" w:type="dxa"/>
            <w:left w:w="96" w:type="dxa"/>
            <w:bottom w:w="56" w:type="dxa"/>
            <w:right w:w="96" w:type="dxa"/>
          </w:tblCellMar>
        </w:tblPrEx>
        <w:trPr>
          <w:trHeight w:val="0"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71AB9908">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1.线上线下混合式教学</w:t>
            </w:r>
          </w:p>
        </w:tc>
        <w:tc>
          <w:tcPr>
            <w:tcW w:w="1574" w:type="dxa"/>
            <w:tcBorders>
              <w:top w:val="single" w:color="000000" w:sz="4" w:space="0"/>
              <w:left w:val="single" w:color="000000" w:sz="4" w:space="0"/>
              <w:bottom w:val="single" w:color="000000" w:sz="4" w:space="0"/>
              <w:right w:val="single" w:color="000000" w:sz="4" w:space="0"/>
            </w:tcBorders>
            <w:vAlign w:val="center"/>
          </w:tcPr>
          <w:p w14:paraId="02C46F85">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自主学习、协作探究</w:t>
            </w:r>
          </w:p>
        </w:tc>
        <w:tc>
          <w:tcPr>
            <w:tcW w:w="3093" w:type="dxa"/>
            <w:tcBorders>
              <w:top w:val="single" w:color="000000" w:sz="4" w:space="0"/>
              <w:left w:val="single" w:color="000000" w:sz="4" w:space="0"/>
              <w:bottom w:val="single" w:color="000000" w:sz="4" w:space="0"/>
              <w:right w:val="single" w:color="000000" w:sz="4" w:space="0"/>
            </w:tcBorders>
            <w:vAlign w:val="center"/>
          </w:tcPr>
          <w:p w14:paraId="56266BDA">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长江雨课堂</w:t>
            </w:r>
            <w:r>
              <w:rPr>
                <w:rFonts w:hint="eastAsia" w:ascii="仿宋_GB2312" w:hAnsi="仿宋_GB2312" w:eastAsia="仿宋_GB2312" w:cs="仿宋_GB2312"/>
                <w:sz w:val="24"/>
                <w:szCs w:val="24"/>
              </w:rPr>
              <w:t>平台、智慧树网课、微课视频</w:t>
            </w:r>
          </w:p>
        </w:tc>
        <w:tc>
          <w:tcPr>
            <w:tcW w:w="2750" w:type="dxa"/>
            <w:tcBorders>
              <w:top w:val="single" w:color="000000" w:sz="4" w:space="0"/>
              <w:left w:val="single" w:color="000000" w:sz="4" w:space="0"/>
              <w:bottom w:val="single" w:color="000000" w:sz="4" w:space="0"/>
              <w:right w:val="single" w:color="000000" w:sz="4" w:space="0"/>
            </w:tcBorders>
            <w:vAlign w:val="center"/>
          </w:tcPr>
          <w:p w14:paraId="2545EAE9">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实现知识前置，提高课堂效率，支持个性化学习。</w:t>
            </w:r>
          </w:p>
        </w:tc>
      </w:tr>
      <w:tr w14:paraId="094BDBC6">
        <w:tblPrEx>
          <w:tblCellMar>
            <w:top w:w="56" w:type="dxa"/>
            <w:left w:w="96" w:type="dxa"/>
            <w:bottom w:w="56" w:type="dxa"/>
            <w:right w:w="96" w:type="dxa"/>
          </w:tblCellMar>
        </w:tblPrEx>
        <w:trPr>
          <w:trHeight w:val="0"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4560CFBD">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2.情境模拟教学</w:t>
            </w:r>
          </w:p>
        </w:tc>
        <w:tc>
          <w:tcPr>
            <w:tcW w:w="1574" w:type="dxa"/>
            <w:tcBorders>
              <w:top w:val="single" w:color="000000" w:sz="4" w:space="0"/>
              <w:left w:val="single" w:color="000000" w:sz="4" w:space="0"/>
              <w:bottom w:val="single" w:color="000000" w:sz="4" w:space="0"/>
              <w:right w:val="single" w:color="000000" w:sz="4" w:space="0"/>
            </w:tcBorders>
            <w:vAlign w:val="center"/>
          </w:tcPr>
          <w:p w14:paraId="6B2D58CA">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角色扮演、案例分析</w:t>
            </w:r>
          </w:p>
        </w:tc>
        <w:tc>
          <w:tcPr>
            <w:tcW w:w="3093" w:type="dxa"/>
            <w:tcBorders>
              <w:top w:val="single" w:color="000000" w:sz="4" w:space="0"/>
              <w:left w:val="single" w:color="000000" w:sz="4" w:space="0"/>
              <w:bottom w:val="single" w:color="000000" w:sz="4" w:space="0"/>
              <w:right w:val="single" w:color="000000" w:sz="4" w:space="0"/>
            </w:tcBorders>
            <w:vAlign w:val="center"/>
          </w:tcPr>
          <w:p w14:paraId="42B0C752">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情景剧剧本、实物道具（模拟废旧管件）、VR虚拟参观</w:t>
            </w:r>
          </w:p>
        </w:tc>
        <w:tc>
          <w:tcPr>
            <w:tcW w:w="2750" w:type="dxa"/>
            <w:tcBorders>
              <w:top w:val="single" w:color="000000" w:sz="4" w:space="0"/>
              <w:left w:val="single" w:color="000000" w:sz="4" w:space="0"/>
              <w:bottom w:val="single" w:color="000000" w:sz="4" w:space="0"/>
              <w:right w:val="single" w:color="000000" w:sz="4" w:space="0"/>
            </w:tcBorders>
            <w:vAlign w:val="center"/>
          </w:tcPr>
          <w:p w14:paraId="132B3901">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创设真实工作情境，增强代入感，提升情感体验。</w:t>
            </w:r>
          </w:p>
        </w:tc>
      </w:tr>
      <w:tr w14:paraId="4544FC08">
        <w:tblPrEx>
          <w:tblCellMar>
            <w:top w:w="56" w:type="dxa"/>
            <w:left w:w="96" w:type="dxa"/>
            <w:bottom w:w="56" w:type="dxa"/>
            <w:right w:w="96" w:type="dxa"/>
          </w:tblCellMar>
        </w:tblPrEx>
        <w:trPr>
          <w:trHeight w:val="0"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7C73F776">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3.项目式学习</w:t>
            </w:r>
          </w:p>
        </w:tc>
        <w:tc>
          <w:tcPr>
            <w:tcW w:w="1574" w:type="dxa"/>
            <w:tcBorders>
              <w:top w:val="single" w:color="000000" w:sz="4" w:space="0"/>
              <w:left w:val="single" w:color="000000" w:sz="4" w:space="0"/>
              <w:bottom w:val="single" w:color="000000" w:sz="4" w:space="0"/>
              <w:right w:val="single" w:color="000000" w:sz="4" w:space="0"/>
            </w:tcBorders>
            <w:vAlign w:val="center"/>
          </w:tcPr>
          <w:p w14:paraId="1296D194">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任务驱动、成果展示</w:t>
            </w:r>
          </w:p>
        </w:tc>
        <w:tc>
          <w:tcPr>
            <w:tcW w:w="3093" w:type="dxa"/>
            <w:tcBorders>
              <w:top w:val="single" w:color="000000" w:sz="4" w:space="0"/>
              <w:left w:val="single" w:color="000000" w:sz="4" w:space="0"/>
              <w:bottom w:val="single" w:color="000000" w:sz="4" w:space="0"/>
              <w:right w:val="single" w:color="000000" w:sz="4" w:space="0"/>
            </w:tcBorders>
            <w:vAlign w:val="center"/>
          </w:tcPr>
          <w:p w14:paraId="16A3A931">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项目任务书、PPT模板、答辩评分表</w:t>
            </w:r>
          </w:p>
        </w:tc>
        <w:tc>
          <w:tcPr>
            <w:tcW w:w="2750" w:type="dxa"/>
            <w:tcBorders>
              <w:top w:val="single" w:color="000000" w:sz="4" w:space="0"/>
              <w:left w:val="single" w:color="000000" w:sz="4" w:space="0"/>
              <w:bottom w:val="single" w:color="000000" w:sz="4" w:space="0"/>
              <w:right w:val="single" w:color="000000" w:sz="4" w:space="0"/>
            </w:tcBorders>
            <w:vAlign w:val="center"/>
          </w:tcPr>
          <w:p w14:paraId="2FDD9250">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培养学生解决复杂问题的能力，锻炼综合素养。</w:t>
            </w:r>
          </w:p>
        </w:tc>
      </w:tr>
      <w:tr w14:paraId="237095AC">
        <w:tblPrEx>
          <w:tblCellMar>
            <w:top w:w="56" w:type="dxa"/>
            <w:left w:w="96" w:type="dxa"/>
            <w:bottom w:w="56" w:type="dxa"/>
            <w:right w:w="96" w:type="dxa"/>
          </w:tblCellMar>
        </w:tblPrEx>
        <w:trPr>
          <w:trHeight w:val="0" w:hRule="atLeas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731A7E13">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.多元评价教学</w:t>
            </w:r>
          </w:p>
        </w:tc>
        <w:tc>
          <w:tcPr>
            <w:tcW w:w="1574" w:type="dxa"/>
            <w:tcBorders>
              <w:top w:val="single" w:color="000000" w:sz="4" w:space="0"/>
              <w:left w:val="single" w:color="000000" w:sz="4" w:space="0"/>
              <w:bottom w:val="single" w:color="000000" w:sz="4" w:space="0"/>
              <w:right w:val="single" w:color="000000" w:sz="4" w:space="0"/>
            </w:tcBorders>
            <w:vAlign w:val="center"/>
          </w:tcPr>
          <w:p w14:paraId="3BC411B9">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过程性评价、终结性评价</w:t>
            </w:r>
          </w:p>
        </w:tc>
        <w:tc>
          <w:tcPr>
            <w:tcW w:w="3093" w:type="dxa"/>
            <w:tcBorders>
              <w:top w:val="single" w:color="000000" w:sz="4" w:space="0"/>
              <w:left w:val="single" w:color="000000" w:sz="4" w:space="0"/>
              <w:bottom w:val="single" w:color="000000" w:sz="4" w:space="0"/>
              <w:right w:val="single" w:color="000000" w:sz="4" w:space="0"/>
            </w:tcBorders>
            <w:vAlign w:val="center"/>
          </w:tcPr>
          <w:p w14:paraId="3030B843">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学习档案袋、评价量规、在线测试系统</w:t>
            </w:r>
          </w:p>
        </w:tc>
        <w:tc>
          <w:tcPr>
            <w:tcW w:w="2750" w:type="dxa"/>
            <w:tcBorders>
              <w:top w:val="single" w:color="000000" w:sz="4" w:space="0"/>
              <w:left w:val="single" w:color="000000" w:sz="4" w:space="0"/>
              <w:bottom w:val="single" w:color="000000" w:sz="4" w:space="0"/>
              <w:right w:val="single" w:color="000000" w:sz="4" w:space="0"/>
            </w:tcBorders>
            <w:vAlign w:val="center"/>
          </w:tcPr>
          <w:p w14:paraId="0DEFFD7E">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全面反映学生发展状况，促进持续改进。</w:t>
            </w:r>
          </w:p>
        </w:tc>
      </w:tr>
    </w:tbl>
    <w:p w14:paraId="5A744DA7">
      <w:pPr>
        <w:rPr>
          <w:rFonts w:ascii="黑体" w:hAnsi="黑体" w:eastAsia="黑体" w:cs="黑体"/>
        </w:rPr>
      </w:pPr>
      <w:r>
        <w:rPr>
          <w:rFonts w:hint="eastAsia" w:ascii="黑体" w:hAnsi="黑体" w:eastAsia="黑体" w:cs="黑体"/>
        </w:rPr>
        <w:t>五、教材与参考资料</w:t>
      </w:r>
    </w:p>
    <w:p w14:paraId="54E1DF49">
      <w:pPr>
        <w:pStyle w:val="13"/>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选用</w:t>
      </w:r>
      <w:r>
        <w:rPr>
          <w:rFonts w:hint="eastAsia" w:ascii="仿宋_GB2312" w:hAnsi="仿宋_GB2312" w:eastAsia="仿宋_GB2312" w:cs="仿宋_GB2312"/>
          <w:sz w:val="28"/>
          <w:szCs w:val="28"/>
          <w:lang w:val="en-US" w:eastAsia="zh-CN"/>
        </w:rPr>
        <w:t>校本自编教材</w:t>
      </w:r>
      <w:r>
        <w:rPr>
          <w:rFonts w:hint="eastAsia" w:ascii="仿宋_GB2312" w:hAnsi="仿宋_GB2312" w:eastAsia="仿宋_GB2312" w:cs="仿宋_GB2312"/>
          <w:sz w:val="28"/>
          <w:szCs w:val="28"/>
        </w:rPr>
        <w:t>《钢铁企业文化》作为主教材，同时，配套开发《钢铁企业文化活页式讲义》，按“模块—任务—活动”结构编排，每页包含“学习目标”“知识卡片”“任务指南”“评价量规”等要素，便于师生随堂使用。也可参考《中国冶金史》《大国工匠》等书籍补充拓展内容。</w:t>
      </w:r>
    </w:p>
    <w:p w14:paraId="45F62E18">
      <w:pPr>
        <w:pStyle w:val="13"/>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b w:val="0"/>
          <w:bCs w:val="0"/>
          <w:sz w:val="28"/>
          <w:szCs w:val="28"/>
          <w:lang w:eastAsia="zh-CN"/>
        </w:rPr>
      </w:pPr>
      <w:bookmarkStart w:id="0" w:name="学习资源"/>
      <w:r>
        <w:rPr>
          <w:rFonts w:hint="eastAsia" w:ascii="仿宋_GB2312" w:hAnsi="仿宋_GB2312" w:eastAsia="仿宋_GB2312" w:cs="仿宋_GB2312"/>
          <w:b w:val="0"/>
          <w:bCs w:val="0"/>
          <w:sz w:val="28"/>
          <w:szCs w:val="28"/>
        </w:rPr>
        <w:t>推荐使用以下数字教学资源</w:t>
      </w:r>
      <w:r>
        <w:rPr>
          <w:rFonts w:hint="eastAsia" w:ascii="仿宋_GB2312" w:hAnsi="仿宋_GB2312" w:eastAsia="仿宋_GB2312" w:cs="仿宋_GB2312"/>
          <w:b w:val="0"/>
          <w:bCs w:val="0"/>
          <w:sz w:val="28"/>
          <w:szCs w:val="28"/>
          <w:lang w:eastAsia="zh-CN"/>
        </w:rPr>
        <w:t>：</w:t>
      </w:r>
    </w:p>
    <w:p w14:paraId="7B793D68">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国家职业教育智慧教育平台：</w:t>
      </w:r>
      <w:r>
        <w:rPr>
          <w:rFonts w:hint="eastAsia" w:ascii="仿宋_GB2312" w:hAnsi="仿宋_GB2312" w:eastAsia="仿宋_GB2312" w:cs="仿宋_GB2312"/>
          <w:sz w:val="28"/>
          <w:szCs w:val="28"/>
        </w:rPr>
        <w:t>搜索“钢铁企业文化”相关课程资源。</w:t>
      </w:r>
    </w:p>
    <w:p w14:paraId="0FAA9F4D">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中国钢铁工业协会官网：</w:t>
      </w:r>
      <w:r>
        <w:rPr>
          <w:rFonts w:hint="eastAsia" w:ascii="仿宋_GB2312" w:hAnsi="仿宋_GB2312" w:eastAsia="仿宋_GB2312" w:cs="仿宋_GB2312"/>
          <w:sz w:val="28"/>
          <w:szCs w:val="28"/>
        </w:rPr>
        <w:t>获取最新行业政策与企业文化动态。</w:t>
      </w:r>
    </w:p>
    <w:p w14:paraId="1E2DB8FB">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央视纪录片《钢铁脊梁》</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《大国工匠》：</w:t>
      </w:r>
      <w:r>
        <w:rPr>
          <w:rFonts w:hint="eastAsia" w:ascii="仿宋_GB2312" w:hAnsi="仿宋_GB2312" w:eastAsia="仿宋_GB2312" w:cs="仿宋_GB2312"/>
          <w:sz w:val="28"/>
          <w:szCs w:val="28"/>
        </w:rPr>
        <w:t>用于情境导入与情感熏陶。</w:t>
      </w:r>
    </w:p>
    <w:p w14:paraId="74DFDE47">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虚拟仿真平台：</w:t>
      </w:r>
      <w:r>
        <w:rPr>
          <w:rFonts w:hint="eastAsia" w:ascii="仿宋_GB2312" w:hAnsi="仿宋_GB2312" w:eastAsia="仿宋_GB2312" w:cs="仿宋_GB2312"/>
          <w:sz w:val="28"/>
          <w:szCs w:val="28"/>
        </w:rPr>
        <w:t>如“钢铁冶炼虚拟仿真实训系统”，用于模拟高炉操作与应急处置。</w:t>
      </w:r>
    </w:p>
    <w:p w14:paraId="3E6F7B08">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企业微信公众号：</w:t>
      </w:r>
      <w:r>
        <w:rPr>
          <w:rFonts w:hint="eastAsia" w:ascii="仿宋_GB2312" w:hAnsi="仿宋_GB2312" w:eastAsia="仿宋_GB2312" w:cs="仿宋_GB2312"/>
          <w:sz w:val="28"/>
          <w:szCs w:val="28"/>
        </w:rPr>
        <w:t>关注鞍钢、宝钢、</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钢等企业发布的文化宣传内容。</w:t>
      </w:r>
    </w:p>
    <w:bookmarkEnd w:id="0"/>
    <w:p w14:paraId="7A4255CC">
      <w:pPr>
        <w:rPr>
          <w:rFonts w:ascii="黑体" w:hAnsi="黑体" w:eastAsia="黑体" w:cs="黑体"/>
        </w:rPr>
      </w:pPr>
      <w:r>
        <w:rPr>
          <w:rFonts w:hint="eastAsia" w:ascii="黑体" w:hAnsi="黑体" w:eastAsia="黑体" w:cs="黑体"/>
        </w:rPr>
        <w:t>六、考核方式与评价标准</w:t>
      </w:r>
    </w:p>
    <w:p w14:paraId="714B25A6">
      <w:pPr>
        <w:pStyle w:val="2"/>
        <w:keepNext/>
        <w:keepLines/>
        <w:pageBreakBefore w:val="0"/>
        <w:widowControl/>
        <w:kinsoku/>
        <w:wordWrap/>
        <w:overflowPunct/>
        <w:topLinePunct w:val="0"/>
        <w:autoSpaceDE/>
        <w:autoSpaceDN/>
        <w:bidi w:val="0"/>
        <w:adjustRightInd/>
        <w:snapToGrid/>
        <w:spacing w:before="0" w:line="560" w:lineRule="exact"/>
        <w:textAlignment w:val="auto"/>
        <w:rPr>
          <w:rFonts w:hint="eastAsia" w:ascii="楷体_GB2312" w:hAnsi="楷体_GB2312" w:eastAsia="楷体_GB2312" w:cs="楷体_GB2312"/>
          <w:b w:val="0"/>
          <w:bCs w:val="0"/>
          <w:sz w:val="32"/>
          <w:szCs w:val="32"/>
        </w:rPr>
      </w:pPr>
      <w:bookmarkStart w:id="1" w:name="评价原则"/>
      <w:r>
        <w:rPr>
          <w:rFonts w:hint="eastAsia" w:ascii="楷体_GB2312" w:hAnsi="楷体_GB2312" w:eastAsia="楷体_GB2312" w:cs="楷体_GB2312"/>
          <w:b w:val="0"/>
          <w:bCs w:val="0"/>
          <w:i w:val="0"/>
          <w:sz w:val="32"/>
          <w:szCs w:val="32"/>
          <w:lang w:val="en-US" w:eastAsia="zh-CN"/>
        </w:rPr>
        <w:t>（一）</w:t>
      </w:r>
      <w:r>
        <w:rPr>
          <w:rFonts w:hint="eastAsia" w:ascii="楷体_GB2312" w:hAnsi="楷体_GB2312" w:eastAsia="楷体_GB2312" w:cs="楷体_GB2312"/>
          <w:b w:val="0"/>
          <w:bCs w:val="0"/>
          <w:i w:val="0"/>
          <w:sz w:val="32"/>
          <w:szCs w:val="32"/>
        </w:rPr>
        <w:t>评价原则</w:t>
      </w:r>
    </w:p>
    <w:p w14:paraId="0DB358B0">
      <w:pPr>
        <w:pStyle w:val="13"/>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能力为本、过程导向、多元评价、标准对接”的原则。评价不仅关注学生是否掌握了知识，更关注其是否形成了正确的价值观、是否具备了岗位所需的职业素养与实践能力。评价方式多元化，涵盖知识、技能、态度、行为等多个维度，且与企业岗位标准、职业技能等级证书要求、技能竞赛规则相衔接，确保评价结果的科学性、公正性与有效性。</w:t>
      </w:r>
    </w:p>
    <w:bookmarkEnd w:id="1"/>
    <w:p w14:paraId="30CB1ED9">
      <w:pPr>
        <w:pStyle w:val="2"/>
        <w:keepNext/>
        <w:keepLines/>
        <w:pageBreakBefore w:val="0"/>
        <w:widowControl/>
        <w:kinsoku/>
        <w:wordWrap/>
        <w:overflowPunct/>
        <w:topLinePunct w:val="0"/>
        <w:autoSpaceDE/>
        <w:autoSpaceDN/>
        <w:bidi w:val="0"/>
        <w:adjustRightInd/>
        <w:snapToGrid/>
        <w:spacing w:before="0" w:line="560" w:lineRule="exact"/>
        <w:textAlignment w:val="auto"/>
        <w:rPr>
          <w:rFonts w:hint="eastAsia" w:ascii="楷体_GB2312" w:hAnsi="楷体_GB2312" w:eastAsia="楷体_GB2312" w:cs="楷体_GB2312"/>
          <w:b w:val="0"/>
          <w:bCs w:val="0"/>
          <w:i w:val="0"/>
          <w:sz w:val="32"/>
          <w:szCs w:val="32"/>
          <w:lang w:val="en-US" w:eastAsia="zh-CN"/>
        </w:rPr>
      </w:pPr>
      <w:bookmarkStart w:id="2" w:name="评价方式与内容"/>
      <w:r>
        <w:rPr>
          <w:rFonts w:hint="eastAsia" w:ascii="楷体_GB2312" w:hAnsi="楷体_GB2312" w:eastAsia="楷体_GB2312" w:cs="楷体_GB2312"/>
          <w:b w:val="0"/>
          <w:bCs w:val="0"/>
          <w:i w:val="0"/>
          <w:sz w:val="32"/>
          <w:szCs w:val="32"/>
          <w:lang w:val="en-US" w:eastAsia="zh-CN"/>
        </w:rPr>
        <w:t>（二）评价方式与内容</w:t>
      </w:r>
    </w:p>
    <w:p w14:paraId="0A368EC3">
      <w:pPr>
        <w:pStyle w:val="4"/>
        <w:keepNext/>
        <w:keepLines/>
        <w:pageBreakBefore w:val="0"/>
        <w:widowControl/>
        <w:kinsoku/>
        <w:wordWrap/>
        <w:overflowPunct/>
        <w:topLinePunct w:val="0"/>
        <w:autoSpaceDE/>
        <w:autoSpaceDN/>
        <w:bidi w:val="0"/>
        <w:adjustRightInd/>
        <w:snapToGrid/>
        <w:spacing w:before="0" w:line="560" w:lineRule="exact"/>
        <w:textAlignment w:val="auto"/>
        <w:rPr>
          <w:rFonts w:hint="eastAsia" w:ascii="仿宋_GB2312" w:hAnsi="仿宋_GB2312" w:eastAsia="仿宋_GB2312" w:cs="仿宋_GB2312"/>
          <w:b w:val="0"/>
          <w:bCs/>
          <w:sz w:val="28"/>
          <w:szCs w:val="28"/>
        </w:rPr>
      </w:pPr>
      <w:bookmarkStart w:id="3" w:name="过程性评价"/>
      <w:r>
        <w:rPr>
          <w:rFonts w:hint="eastAsia" w:ascii="仿宋_GB2312" w:hAnsi="仿宋_GB2312" w:eastAsia="仿宋_GB2312" w:cs="仿宋_GB2312"/>
          <w:b w:val="0"/>
          <w:bCs/>
          <w:i w:val="0"/>
          <w:sz w:val="28"/>
          <w:szCs w:val="28"/>
          <w:lang w:val="en-US" w:eastAsia="zh-CN"/>
        </w:rPr>
        <w:t>1、</w:t>
      </w:r>
      <w:r>
        <w:rPr>
          <w:rFonts w:hint="eastAsia" w:ascii="仿宋_GB2312" w:hAnsi="仿宋_GB2312" w:eastAsia="仿宋_GB2312" w:cs="仿宋_GB2312"/>
          <w:b w:val="0"/>
          <w:bCs/>
          <w:i w:val="0"/>
          <w:sz w:val="28"/>
          <w:szCs w:val="28"/>
        </w:rPr>
        <w:t>过程性评价:</w:t>
      </w:r>
      <w:r>
        <w:rPr>
          <w:rFonts w:hint="eastAsia" w:ascii="仿宋_GB2312" w:hAnsi="仿宋_GB2312" w:eastAsia="仿宋_GB2312" w:cs="仿宋_GB2312"/>
          <w:b w:val="0"/>
          <w:bCs/>
          <w:i w:val="0"/>
          <w:iCs w:val="0"/>
          <w:sz w:val="28"/>
          <w:szCs w:val="28"/>
        </w:rPr>
        <w:t> 建议占比:</w:t>
      </w:r>
      <w:r>
        <w:rPr>
          <w:rFonts w:hint="eastAsia" w:ascii="仿宋_GB2312" w:hAnsi="仿宋_GB2312" w:eastAsia="仿宋_GB2312" w:cs="仿宋_GB2312"/>
          <w:b w:val="0"/>
          <w:bCs/>
          <w:i w:val="0"/>
          <w:iCs w:val="0"/>
          <w:sz w:val="28"/>
          <w:szCs w:val="28"/>
          <w:lang w:val="en-US" w:eastAsia="zh-CN"/>
        </w:rPr>
        <w:t>40</w:t>
      </w:r>
      <w:r>
        <w:rPr>
          <w:rFonts w:hint="eastAsia" w:ascii="仿宋_GB2312" w:hAnsi="仿宋_GB2312" w:eastAsia="仿宋_GB2312" w:cs="仿宋_GB2312"/>
          <w:b w:val="0"/>
          <w:bCs/>
          <w:i w:val="0"/>
          <w:iCs w:val="0"/>
          <w:sz w:val="28"/>
          <w:szCs w:val="28"/>
        </w:rPr>
        <w:t>%</w:t>
      </w:r>
    </w:p>
    <w:tbl>
      <w:tblPr>
        <w:tblStyle w:val="15"/>
        <w:tblW w:w="9023" w:type="dxa"/>
        <w:jc w:val="center"/>
        <w:tblLayout w:type="fixed"/>
        <w:tblCellMar>
          <w:top w:w="80" w:type="dxa"/>
          <w:left w:w="128" w:type="dxa"/>
          <w:bottom w:w="80" w:type="dxa"/>
          <w:right w:w="128" w:type="dxa"/>
        </w:tblCellMar>
      </w:tblPr>
      <w:tblGrid>
        <w:gridCol w:w="1824"/>
        <w:gridCol w:w="3982"/>
        <w:gridCol w:w="2421"/>
        <w:gridCol w:w="796"/>
      </w:tblGrid>
      <w:tr w14:paraId="3328B503">
        <w:tblPrEx>
          <w:tblCellMar>
            <w:top w:w="80" w:type="dxa"/>
            <w:left w:w="128" w:type="dxa"/>
            <w:bottom w:w="80" w:type="dxa"/>
            <w:right w:w="128" w:type="dxa"/>
          </w:tblCellMar>
        </w:tblPrEx>
        <w:trPr>
          <w:trHeight w:val="0" w:hRule="atLeast"/>
          <w:tblHeader/>
          <w:jc w:val="center"/>
        </w:trPr>
        <w:tc>
          <w:tcPr>
            <w:tcW w:w="182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5B1B06">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评价项目</w:t>
            </w:r>
          </w:p>
        </w:tc>
        <w:tc>
          <w:tcPr>
            <w:tcW w:w="398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2BC3950">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评价内容</w:t>
            </w:r>
          </w:p>
        </w:tc>
        <w:tc>
          <w:tcPr>
            <w:tcW w:w="2421"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1ED3D74">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评价方式</w:t>
            </w:r>
          </w:p>
        </w:tc>
        <w:tc>
          <w:tcPr>
            <w:tcW w:w="7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A4CAFAF">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权重</w:t>
            </w:r>
          </w:p>
        </w:tc>
      </w:tr>
      <w:tr w14:paraId="4CA8453B">
        <w:tblPrEx>
          <w:tblCellMar>
            <w:top w:w="80" w:type="dxa"/>
            <w:left w:w="128" w:type="dxa"/>
            <w:bottom w:w="80" w:type="dxa"/>
            <w:right w:w="128" w:type="dxa"/>
          </w:tblCellMar>
        </w:tblPrEx>
        <w:trPr>
          <w:trHeight w:val="0" w:hRule="atLeast"/>
          <w:jc w:val="center"/>
        </w:trPr>
        <w:tc>
          <w:tcPr>
            <w:tcW w:w="1824" w:type="dxa"/>
            <w:tcBorders>
              <w:top w:val="single" w:color="000000" w:sz="4" w:space="0"/>
              <w:left w:val="single" w:color="000000" w:sz="4" w:space="0"/>
              <w:bottom w:val="single" w:color="000000" w:sz="4" w:space="0"/>
              <w:right w:val="single" w:color="000000" w:sz="4" w:space="0"/>
            </w:tcBorders>
            <w:vAlign w:val="center"/>
          </w:tcPr>
          <w:p w14:paraId="157BF0C2">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课堂参与度</w:t>
            </w:r>
          </w:p>
        </w:tc>
        <w:tc>
          <w:tcPr>
            <w:tcW w:w="3982" w:type="dxa"/>
            <w:tcBorders>
              <w:top w:val="single" w:color="000000" w:sz="4" w:space="0"/>
              <w:left w:val="single" w:color="000000" w:sz="4" w:space="0"/>
              <w:bottom w:val="single" w:color="000000" w:sz="4" w:space="0"/>
              <w:right w:val="single" w:color="000000" w:sz="4" w:space="0"/>
            </w:tcBorders>
            <w:vAlign w:val="center"/>
          </w:tcPr>
          <w:p w14:paraId="336342E3">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出勤情况、发言积极性、小组合作表现</w:t>
            </w:r>
          </w:p>
        </w:tc>
        <w:tc>
          <w:tcPr>
            <w:tcW w:w="2421" w:type="dxa"/>
            <w:tcBorders>
              <w:top w:val="single" w:color="000000" w:sz="4" w:space="0"/>
              <w:left w:val="single" w:color="000000" w:sz="4" w:space="0"/>
              <w:bottom w:val="single" w:color="000000" w:sz="4" w:space="0"/>
              <w:right w:val="single" w:color="000000" w:sz="4" w:space="0"/>
            </w:tcBorders>
            <w:vAlign w:val="center"/>
          </w:tcPr>
          <w:p w14:paraId="626BF209">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教师观察记录、小组互评</w:t>
            </w:r>
          </w:p>
        </w:tc>
        <w:tc>
          <w:tcPr>
            <w:tcW w:w="796" w:type="dxa"/>
            <w:tcBorders>
              <w:top w:val="single" w:color="000000" w:sz="4" w:space="0"/>
              <w:left w:val="single" w:color="000000" w:sz="4" w:space="0"/>
              <w:bottom w:val="single" w:color="000000" w:sz="4" w:space="0"/>
              <w:right w:val="single" w:color="000000" w:sz="4" w:space="0"/>
            </w:tcBorders>
            <w:vAlign w:val="center"/>
          </w:tcPr>
          <w:p w14:paraId="1541696D">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14A93837">
        <w:tblPrEx>
          <w:tblCellMar>
            <w:top w:w="80" w:type="dxa"/>
            <w:left w:w="128" w:type="dxa"/>
            <w:bottom w:w="80" w:type="dxa"/>
            <w:right w:w="128" w:type="dxa"/>
          </w:tblCellMar>
        </w:tblPrEx>
        <w:trPr>
          <w:trHeight w:val="0" w:hRule="atLeast"/>
          <w:jc w:val="center"/>
        </w:trPr>
        <w:tc>
          <w:tcPr>
            <w:tcW w:w="1824" w:type="dxa"/>
            <w:tcBorders>
              <w:top w:val="single" w:color="000000" w:sz="4" w:space="0"/>
              <w:left w:val="single" w:color="000000" w:sz="4" w:space="0"/>
              <w:bottom w:val="single" w:color="000000" w:sz="4" w:space="0"/>
              <w:right w:val="single" w:color="000000" w:sz="4" w:space="0"/>
            </w:tcBorders>
            <w:vAlign w:val="center"/>
          </w:tcPr>
          <w:p w14:paraId="65801708">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学习任务完成情况</w:t>
            </w:r>
          </w:p>
        </w:tc>
        <w:tc>
          <w:tcPr>
            <w:tcW w:w="3982" w:type="dxa"/>
            <w:tcBorders>
              <w:top w:val="single" w:color="000000" w:sz="4" w:space="0"/>
              <w:left w:val="single" w:color="000000" w:sz="4" w:space="0"/>
              <w:bottom w:val="single" w:color="000000" w:sz="4" w:space="0"/>
              <w:right w:val="single" w:color="000000" w:sz="4" w:space="0"/>
            </w:tcBorders>
            <w:vAlign w:val="center"/>
          </w:tcPr>
          <w:p w14:paraId="667CB757">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课前预习、课中任务、课后作业的完成质量</w:t>
            </w:r>
          </w:p>
        </w:tc>
        <w:tc>
          <w:tcPr>
            <w:tcW w:w="2421" w:type="dxa"/>
            <w:tcBorders>
              <w:top w:val="single" w:color="000000" w:sz="4" w:space="0"/>
              <w:left w:val="single" w:color="000000" w:sz="4" w:space="0"/>
              <w:bottom w:val="single" w:color="000000" w:sz="4" w:space="0"/>
              <w:right w:val="single" w:color="000000" w:sz="4" w:space="0"/>
            </w:tcBorders>
            <w:vAlign w:val="center"/>
          </w:tcPr>
          <w:p w14:paraId="0018DF10">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任务单评分、作品检查</w:t>
            </w:r>
          </w:p>
        </w:tc>
        <w:tc>
          <w:tcPr>
            <w:tcW w:w="796" w:type="dxa"/>
            <w:tcBorders>
              <w:top w:val="single" w:color="000000" w:sz="4" w:space="0"/>
              <w:left w:val="single" w:color="000000" w:sz="4" w:space="0"/>
              <w:bottom w:val="single" w:color="000000" w:sz="4" w:space="0"/>
              <w:right w:val="single" w:color="000000" w:sz="4" w:space="0"/>
            </w:tcBorders>
            <w:vAlign w:val="center"/>
          </w:tcPr>
          <w:p w14:paraId="0B8E7C8A">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w:t>
            </w:r>
          </w:p>
        </w:tc>
      </w:tr>
      <w:tr w14:paraId="0E6D2B51">
        <w:tblPrEx>
          <w:tblCellMar>
            <w:top w:w="80" w:type="dxa"/>
            <w:left w:w="128" w:type="dxa"/>
            <w:bottom w:w="80" w:type="dxa"/>
            <w:right w:w="128" w:type="dxa"/>
          </w:tblCellMar>
        </w:tblPrEx>
        <w:trPr>
          <w:trHeight w:val="0" w:hRule="atLeast"/>
          <w:jc w:val="center"/>
        </w:trPr>
        <w:tc>
          <w:tcPr>
            <w:tcW w:w="1824" w:type="dxa"/>
            <w:tcBorders>
              <w:top w:val="single" w:color="000000" w:sz="4" w:space="0"/>
              <w:left w:val="single" w:color="000000" w:sz="4" w:space="0"/>
              <w:bottom w:val="single" w:color="000000" w:sz="4" w:space="0"/>
              <w:right w:val="single" w:color="000000" w:sz="4" w:space="0"/>
            </w:tcBorders>
            <w:vAlign w:val="center"/>
          </w:tcPr>
          <w:p w14:paraId="064952A8">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项目成果展示</w:t>
            </w:r>
          </w:p>
        </w:tc>
        <w:tc>
          <w:tcPr>
            <w:tcW w:w="3982" w:type="dxa"/>
            <w:tcBorders>
              <w:top w:val="single" w:color="000000" w:sz="4" w:space="0"/>
              <w:left w:val="single" w:color="000000" w:sz="4" w:space="0"/>
              <w:bottom w:val="single" w:color="000000" w:sz="4" w:space="0"/>
              <w:right w:val="single" w:color="000000" w:sz="4" w:space="0"/>
            </w:tcBorders>
            <w:vAlign w:val="center"/>
          </w:tcPr>
          <w:p w14:paraId="7A234002">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小组项目报告、PPT、答辩表现</w:t>
            </w:r>
          </w:p>
        </w:tc>
        <w:tc>
          <w:tcPr>
            <w:tcW w:w="2421" w:type="dxa"/>
            <w:tcBorders>
              <w:top w:val="single" w:color="000000" w:sz="4" w:space="0"/>
              <w:left w:val="single" w:color="000000" w:sz="4" w:space="0"/>
              <w:bottom w:val="single" w:color="000000" w:sz="4" w:space="0"/>
              <w:right w:val="single" w:color="000000" w:sz="4" w:space="0"/>
            </w:tcBorders>
            <w:vAlign w:val="center"/>
          </w:tcPr>
          <w:p w14:paraId="08F2EB89">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教师评分、同学互评</w:t>
            </w:r>
          </w:p>
        </w:tc>
        <w:tc>
          <w:tcPr>
            <w:tcW w:w="796" w:type="dxa"/>
            <w:tcBorders>
              <w:top w:val="single" w:color="000000" w:sz="4" w:space="0"/>
              <w:left w:val="single" w:color="000000" w:sz="4" w:space="0"/>
              <w:bottom w:val="single" w:color="000000" w:sz="4" w:space="0"/>
              <w:right w:val="single" w:color="000000" w:sz="4" w:space="0"/>
            </w:tcBorders>
            <w:vAlign w:val="center"/>
          </w:tcPr>
          <w:p w14:paraId="7B06F4A0">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p>
        </w:tc>
      </w:tr>
      <w:bookmarkEnd w:id="3"/>
    </w:tbl>
    <w:p w14:paraId="6D0A9E7D">
      <w:pPr>
        <w:pStyle w:val="4"/>
        <w:keepNext/>
        <w:keepLines/>
        <w:pageBreakBefore w:val="0"/>
        <w:widowControl/>
        <w:kinsoku/>
        <w:wordWrap/>
        <w:overflowPunct/>
        <w:topLinePunct w:val="0"/>
        <w:autoSpaceDE/>
        <w:autoSpaceDN/>
        <w:bidi w:val="0"/>
        <w:adjustRightInd/>
        <w:snapToGrid/>
        <w:spacing w:before="0" w:line="560" w:lineRule="exact"/>
        <w:textAlignment w:val="auto"/>
        <w:rPr>
          <w:rFonts w:hint="eastAsia" w:ascii="仿宋_GB2312" w:hAnsi="仿宋_GB2312" w:eastAsia="仿宋_GB2312" w:cs="仿宋_GB2312"/>
          <w:b w:val="0"/>
          <w:bCs/>
          <w:sz w:val="28"/>
          <w:szCs w:val="28"/>
        </w:rPr>
      </w:pPr>
      <w:bookmarkStart w:id="4" w:name="终结性评价"/>
      <w:r>
        <w:rPr>
          <w:rFonts w:hint="eastAsia" w:ascii="仿宋_GB2312" w:hAnsi="仿宋_GB2312" w:eastAsia="仿宋_GB2312" w:cs="仿宋_GB2312"/>
          <w:b w:val="0"/>
          <w:bCs/>
          <w:i w:val="0"/>
          <w:sz w:val="28"/>
          <w:szCs w:val="28"/>
          <w:lang w:val="en-US" w:eastAsia="zh-CN"/>
        </w:rPr>
        <w:t>2、</w:t>
      </w:r>
      <w:r>
        <w:rPr>
          <w:rFonts w:hint="eastAsia" w:ascii="仿宋_GB2312" w:hAnsi="仿宋_GB2312" w:eastAsia="仿宋_GB2312" w:cs="仿宋_GB2312"/>
          <w:b w:val="0"/>
          <w:bCs/>
          <w:i w:val="0"/>
          <w:sz w:val="28"/>
          <w:szCs w:val="28"/>
        </w:rPr>
        <w:t>终结性评价 :</w:t>
      </w:r>
      <w:r>
        <w:rPr>
          <w:rFonts w:hint="eastAsia" w:ascii="仿宋_GB2312" w:hAnsi="仿宋_GB2312" w:eastAsia="仿宋_GB2312" w:cs="仿宋_GB2312"/>
          <w:b w:val="0"/>
          <w:bCs/>
          <w:i w:val="0"/>
          <w:iCs/>
          <w:sz w:val="28"/>
          <w:szCs w:val="28"/>
        </w:rPr>
        <w:t>建议占比:</w:t>
      </w:r>
      <w:r>
        <w:rPr>
          <w:rFonts w:hint="eastAsia" w:ascii="仿宋_GB2312" w:hAnsi="仿宋_GB2312" w:eastAsia="仿宋_GB2312" w:cs="仿宋_GB2312"/>
          <w:b w:val="0"/>
          <w:bCs/>
          <w:i w:val="0"/>
          <w:iCs/>
          <w:sz w:val="28"/>
          <w:szCs w:val="28"/>
          <w:lang w:val="en-US" w:eastAsia="zh-CN"/>
        </w:rPr>
        <w:t>6</w:t>
      </w:r>
      <w:r>
        <w:rPr>
          <w:rFonts w:hint="eastAsia" w:ascii="仿宋_GB2312" w:hAnsi="仿宋_GB2312" w:eastAsia="仿宋_GB2312" w:cs="仿宋_GB2312"/>
          <w:b w:val="0"/>
          <w:bCs/>
          <w:i w:val="0"/>
          <w:iCs/>
          <w:sz w:val="28"/>
          <w:szCs w:val="28"/>
        </w:rPr>
        <w:t>0%</w:t>
      </w:r>
    </w:p>
    <w:tbl>
      <w:tblPr>
        <w:tblStyle w:val="15"/>
        <w:tblW w:w="8849" w:type="dxa"/>
        <w:jc w:val="center"/>
        <w:tblLayout w:type="fixed"/>
        <w:tblCellMar>
          <w:top w:w="80" w:type="dxa"/>
          <w:left w:w="128" w:type="dxa"/>
          <w:bottom w:w="80" w:type="dxa"/>
          <w:right w:w="128" w:type="dxa"/>
        </w:tblCellMar>
      </w:tblPr>
      <w:tblGrid>
        <w:gridCol w:w="1936"/>
        <w:gridCol w:w="4637"/>
        <w:gridCol w:w="1407"/>
        <w:gridCol w:w="869"/>
      </w:tblGrid>
      <w:tr w14:paraId="2FA94876">
        <w:tblPrEx>
          <w:tblCellMar>
            <w:top w:w="80" w:type="dxa"/>
            <w:left w:w="128" w:type="dxa"/>
            <w:bottom w:w="80" w:type="dxa"/>
            <w:right w:w="128" w:type="dxa"/>
          </w:tblCellMar>
        </w:tblPrEx>
        <w:trPr>
          <w:trHeight w:val="0" w:hRule="atLeast"/>
          <w:tblHeader/>
          <w:jc w:val="center"/>
        </w:trPr>
        <w:tc>
          <w:tcPr>
            <w:tcW w:w="193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0C73A1">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评价项目</w:t>
            </w:r>
          </w:p>
        </w:tc>
        <w:tc>
          <w:tcPr>
            <w:tcW w:w="463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F4F8182">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评价内容</w:t>
            </w:r>
          </w:p>
        </w:tc>
        <w:tc>
          <w:tcPr>
            <w:tcW w:w="1407"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2CE247F">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评价方式</w:t>
            </w:r>
          </w:p>
        </w:tc>
        <w:tc>
          <w:tcPr>
            <w:tcW w:w="86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6AFA0BA">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权重</w:t>
            </w:r>
          </w:p>
        </w:tc>
      </w:tr>
      <w:tr w14:paraId="69C70B7B">
        <w:tblPrEx>
          <w:tblCellMar>
            <w:top w:w="80" w:type="dxa"/>
            <w:left w:w="128" w:type="dxa"/>
            <w:bottom w:w="80" w:type="dxa"/>
            <w:right w:w="128" w:type="dxa"/>
          </w:tblCellMar>
        </w:tblPrEx>
        <w:trPr>
          <w:trHeight w:val="0" w:hRule="atLeast"/>
          <w:jc w:val="center"/>
        </w:trPr>
        <w:tc>
          <w:tcPr>
            <w:tcW w:w="1936" w:type="dxa"/>
            <w:tcBorders>
              <w:top w:val="single" w:color="000000" w:sz="4" w:space="0"/>
              <w:left w:val="single" w:color="000000" w:sz="4" w:space="0"/>
              <w:bottom w:val="single" w:color="000000" w:sz="4" w:space="0"/>
              <w:right w:val="single" w:color="000000" w:sz="4" w:space="0"/>
            </w:tcBorders>
            <w:vAlign w:val="center"/>
          </w:tcPr>
          <w:p w14:paraId="3D429266">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期末综合考核</w:t>
            </w:r>
          </w:p>
        </w:tc>
        <w:tc>
          <w:tcPr>
            <w:tcW w:w="4637" w:type="dxa"/>
            <w:tcBorders>
              <w:top w:val="single" w:color="000000" w:sz="4" w:space="0"/>
              <w:left w:val="single" w:color="000000" w:sz="4" w:space="0"/>
              <w:bottom w:val="single" w:color="000000" w:sz="4" w:space="0"/>
              <w:right w:val="single" w:color="000000" w:sz="4" w:space="0"/>
            </w:tcBorders>
            <w:vAlign w:val="center"/>
          </w:tcPr>
          <w:p w14:paraId="3427A217">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闭卷笔试（含案例分析题、论述题）</w:t>
            </w:r>
          </w:p>
        </w:tc>
        <w:tc>
          <w:tcPr>
            <w:tcW w:w="1407" w:type="dxa"/>
            <w:tcBorders>
              <w:top w:val="single" w:color="000000" w:sz="4" w:space="0"/>
              <w:left w:val="single" w:color="000000" w:sz="4" w:space="0"/>
              <w:bottom w:val="single" w:color="000000" w:sz="4" w:space="0"/>
              <w:right w:val="single" w:color="000000" w:sz="4" w:space="0"/>
            </w:tcBorders>
            <w:vAlign w:val="center"/>
          </w:tcPr>
          <w:p w14:paraId="3103E3B5">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统一考试</w:t>
            </w:r>
          </w:p>
        </w:tc>
        <w:tc>
          <w:tcPr>
            <w:tcW w:w="869" w:type="dxa"/>
            <w:tcBorders>
              <w:top w:val="single" w:color="000000" w:sz="4" w:space="0"/>
              <w:left w:val="single" w:color="000000" w:sz="4" w:space="0"/>
              <w:bottom w:val="single" w:color="000000" w:sz="4" w:space="0"/>
              <w:right w:val="single" w:color="000000" w:sz="4" w:space="0"/>
            </w:tcBorders>
            <w:vAlign w:val="center"/>
          </w:tcPr>
          <w:p w14:paraId="1CE40163">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rPr>
              <w:t>%</w:t>
            </w:r>
          </w:p>
        </w:tc>
      </w:tr>
      <w:bookmarkEnd w:id="4"/>
    </w:tbl>
    <w:p w14:paraId="60A3FB57">
      <w:pPr>
        <w:pStyle w:val="4"/>
        <w:keepNext/>
        <w:keepLines/>
        <w:pageBreakBefore w:val="0"/>
        <w:widowControl/>
        <w:kinsoku/>
        <w:wordWrap/>
        <w:overflowPunct/>
        <w:topLinePunct w:val="0"/>
        <w:autoSpaceDE/>
        <w:autoSpaceDN/>
        <w:bidi w:val="0"/>
        <w:adjustRightInd/>
        <w:snapToGrid/>
        <w:spacing w:before="0" w:line="560" w:lineRule="exact"/>
        <w:textAlignment w:val="auto"/>
        <w:rPr>
          <w:rFonts w:hint="eastAsia" w:ascii="楷体_GB2312" w:hAnsi="楷体_GB2312" w:eastAsia="楷体_GB2312" w:cs="楷体_GB2312"/>
          <w:b w:val="0"/>
          <w:bCs/>
          <w:sz w:val="32"/>
          <w:szCs w:val="32"/>
        </w:rPr>
      </w:pPr>
      <w:bookmarkStart w:id="5" w:name="评价标准"/>
      <w:r>
        <w:rPr>
          <w:rFonts w:hint="eastAsia" w:ascii="楷体_GB2312" w:hAnsi="楷体_GB2312" w:eastAsia="楷体_GB2312" w:cs="楷体_GB2312"/>
          <w:b w:val="0"/>
          <w:bCs/>
          <w:i w:val="0"/>
          <w:sz w:val="32"/>
          <w:szCs w:val="32"/>
          <w:lang w:val="en-US" w:eastAsia="zh-CN"/>
        </w:rPr>
        <w:t>（三）</w:t>
      </w:r>
      <w:r>
        <w:rPr>
          <w:rFonts w:hint="eastAsia" w:ascii="楷体_GB2312" w:hAnsi="楷体_GB2312" w:eastAsia="楷体_GB2312" w:cs="楷体_GB2312"/>
          <w:b w:val="0"/>
          <w:bCs/>
          <w:i w:val="0"/>
          <w:sz w:val="32"/>
          <w:szCs w:val="32"/>
        </w:rPr>
        <w:t>评价标准</w:t>
      </w:r>
    </w:p>
    <w:p w14:paraId="4996C11D">
      <w:pPr>
        <w:pStyle w:val="13"/>
        <w:keepNext w:val="0"/>
        <w:keepLines w:val="0"/>
        <w:pageBreakBefore w:val="0"/>
        <w:widowControl/>
        <w:kinsoku/>
        <w:wordWrap/>
        <w:overflowPunct/>
        <w:topLinePunct w:val="0"/>
        <w:autoSpaceDE/>
        <w:autoSpaceDN/>
        <w:bidi w:val="0"/>
        <w:adjustRightInd/>
        <w:snapToGrid/>
        <w:spacing w:before="0" w:after="0" w:line="560" w:lineRule="exact"/>
        <w:textAlignment w:val="auto"/>
        <w:rPr>
          <w:sz w:val="28"/>
          <w:szCs w:val="28"/>
        </w:rPr>
      </w:pPr>
      <w:r>
        <w:rPr>
          <w:sz w:val="28"/>
          <w:szCs w:val="28"/>
        </w:rPr>
        <w:t>主要考核项目（尤其是项目类）评分标准如下：</w:t>
      </w:r>
    </w:p>
    <w:tbl>
      <w:tblPr>
        <w:tblStyle w:val="15"/>
        <w:tblW w:w="11063" w:type="dxa"/>
        <w:jc w:val="center"/>
        <w:tblLayout w:type="fixed"/>
        <w:tblCellMar>
          <w:top w:w="56" w:type="dxa"/>
          <w:left w:w="96" w:type="dxa"/>
          <w:bottom w:w="56" w:type="dxa"/>
          <w:right w:w="96" w:type="dxa"/>
        </w:tblCellMar>
      </w:tblPr>
      <w:tblGrid>
        <w:gridCol w:w="1572"/>
        <w:gridCol w:w="2294"/>
        <w:gridCol w:w="1930"/>
        <w:gridCol w:w="1883"/>
        <w:gridCol w:w="1700"/>
        <w:gridCol w:w="1684"/>
      </w:tblGrid>
      <w:tr w14:paraId="5F620D35">
        <w:tblPrEx>
          <w:tblCellMar>
            <w:top w:w="56" w:type="dxa"/>
            <w:left w:w="96" w:type="dxa"/>
            <w:bottom w:w="56" w:type="dxa"/>
            <w:right w:w="96" w:type="dxa"/>
          </w:tblCellMar>
        </w:tblPrEx>
        <w:trPr>
          <w:trHeight w:val="0" w:hRule="atLeast"/>
          <w:tblHeader/>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5E4460B">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评分维度</w:t>
            </w:r>
          </w:p>
        </w:tc>
        <w:tc>
          <w:tcPr>
            <w:tcW w:w="2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E69A560">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优秀(90-100)</w:t>
            </w:r>
          </w:p>
        </w:tc>
        <w:tc>
          <w:tcPr>
            <w:tcW w:w="193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3BD60D">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良好(80-89)</w:t>
            </w:r>
          </w:p>
        </w:tc>
        <w:tc>
          <w:tcPr>
            <w:tcW w:w="188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D656CE7">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中等(70-79)</w:t>
            </w:r>
          </w:p>
        </w:tc>
        <w:tc>
          <w:tcPr>
            <w:tcW w:w="170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23A9875">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及格(60-69)</w:t>
            </w:r>
          </w:p>
        </w:tc>
        <w:tc>
          <w:tcPr>
            <w:tcW w:w="168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C9943B6">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不及格(&lt;60)</w:t>
            </w:r>
          </w:p>
        </w:tc>
      </w:tr>
      <w:tr w14:paraId="7E95B26F">
        <w:tblPrEx>
          <w:tblCellMar>
            <w:top w:w="56" w:type="dxa"/>
            <w:left w:w="96" w:type="dxa"/>
            <w:bottom w:w="56" w:type="dxa"/>
            <w:right w:w="96" w:type="dxa"/>
          </w:tblCellMar>
        </w:tblPrEx>
        <w:trPr>
          <w:trHeight w:val="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14:paraId="0F9F623F">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知识掌握程度</w:t>
            </w:r>
          </w:p>
        </w:tc>
        <w:tc>
          <w:tcPr>
            <w:tcW w:w="2294" w:type="dxa"/>
            <w:tcBorders>
              <w:top w:val="single" w:color="000000" w:sz="4" w:space="0"/>
              <w:left w:val="single" w:color="000000" w:sz="4" w:space="0"/>
              <w:bottom w:val="single" w:color="000000" w:sz="4" w:space="0"/>
              <w:right w:val="single" w:color="000000" w:sz="4" w:space="0"/>
            </w:tcBorders>
            <w:vAlign w:val="center"/>
          </w:tcPr>
          <w:p w14:paraId="4DBF7BAB">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全面准确理解课程核心概念，能举一反三，引用恰当。</w:t>
            </w:r>
          </w:p>
        </w:tc>
        <w:tc>
          <w:tcPr>
            <w:tcW w:w="1930" w:type="dxa"/>
            <w:tcBorders>
              <w:top w:val="single" w:color="000000" w:sz="4" w:space="0"/>
              <w:left w:val="single" w:color="000000" w:sz="4" w:space="0"/>
              <w:bottom w:val="single" w:color="000000" w:sz="4" w:space="0"/>
              <w:right w:val="single" w:color="000000" w:sz="4" w:space="0"/>
            </w:tcBorders>
            <w:vAlign w:val="center"/>
          </w:tcPr>
          <w:p w14:paraId="33E817A7">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基本掌握课程内容，能正确回答大部分问题。</w:t>
            </w:r>
          </w:p>
        </w:tc>
        <w:tc>
          <w:tcPr>
            <w:tcW w:w="1883" w:type="dxa"/>
            <w:tcBorders>
              <w:top w:val="single" w:color="000000" w:sz="4" w:space="0"/>
              <w:left w:val="single" w:color="000000" w:sz="4" w:space="0"/>
              <w:bottom w:val="single" w:color="000000" w:sz="4" w:space="0"/>
              <w:right w:val="single" w:color="000000" w:sz="4" w:space="0"/>
            </w:tcBorders>
            <w:vAlign w:val="center"/>
          </w:tcPr>
          <w:p w14:paraId="18BC8EC1">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部分理解课程内容，存在明显错误。</w:t>
            </w:r>
          </w:p>
        </w:tc>
        <w:tc>
          <w:tcPr>
            <w:tcW w:w="1700" w:type="dxa"/>
            <w:tcBorders>
              <w:top w:val="single" w:color="000000" w:sz="4" w:space="0"/>
              <w:left w:val="single" w:color="000000" w:sz="4" w:space="0"/>
              <w:bottom w:val="single" w:color="000000" w:sz="4" w:space="0"/>
              <w:right w:val="single" w:color="000000" w:sz="4" w:space="0"/>
            </w:tcBorders>
            <w:vAlign w:val="center"/>
          </w:tcPr>
          <w:p w14:paraId="5B9DC7F4">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仅掌握零星知识点，理解模糊。</w:t>
            </w:r>
          </w:p>
        </w:tc>
        <w:tc>
          <w:tcPr>
            <w:tcW w:w="1684" w:type="dxa"/>
            <w:tcBorders>
              <w:top w:val="single" w:color="000000" w:sz="4" w:space="0"/>
              <w:left w:val="single" w:color="000000" w:sz="4" w:space="0"/>
              <w:bottom w:val="single" w:color="000000" w:sz="4" w:space="0"/>
              <w:right w:val="single" w:color="000000" w:sz="4" w:space="0"/>
            </w:tcBorders>
            <w:vAlign w:val="center"/>
          </w:tcPr>
          <w:p w14:paraId="4D3CD8D7">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未掌握基本内容，无法作答。</w:t>
            </w:r>
          </w:p>
        </w:tc>
      </w:tr>
      <w:tr w14:paraId="62A6B1F6">
        <w:tblPrEx>
          <w:tblCellMar>
            <w:top w:w="56" w:type="dxa"/>
            <w:left w:w="96" w:type="dxa"/>
            <w:bottom w:w="56" w:type="dxa"/>
            <w:right w:w="96" w:type="dxa"/>
          </w:tblCellMar>
        </w:tblPrEx>
        <w:trPr>
          <w:trHeight w:val="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14:paraId="27C8ED4F">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技能应用能力</w:t>
            </w:r>
          </w:p>
        </w:tc>
        <w:tc>
          <w:tcPr>
            <w:tcW w:w="2294" w:type="dxa"/>
            <w:tcBorders>
              <w:top w:val="single" w:color="000000" w:sz="4" w:space="0"/>
              <w:left w:val="single" w:color="000000" w:sz="4" w:space="0"/>
              <w:bottom w:val="single" w:color="000000" w:sz="4" w:space="0"/>
              <w:right w:val="single" w:color="000000" w:sz="4" w:space="0"/>
            </w:tcBorders>
            <w:vAlign w:val="center"/>
          </w:tcPr>
          <w:p w14:paraId="20B179BD">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能灵活运用所学知识解决复杂问题，方案具有创新性与可行性。</w:t>
            </w:r>
          </w:p>
        </w:tc>
        <w:tc>
          <w:tcPr>
            <w:tcW w:w="1930" w:type="dxa"/>
            <w:tcBorders>
              <w:top w:val="single" w:color="000000" w:sz="4" w:space="0"/>
              <w:left w:val="single" w:color="000000" w:sz="4" w:space="0"/>
              <w:bottom w:val="single" w:color="000000" w:sz="4" w:space="0"/>
              <w:right w:val="single" w:color="000000" w:sz="4" w:space="0"/>
            </w:tcBorders>
            <w:vAlign w:val="center"/>
          </w:tcPr>
          <w:p w14:paraId="4DD30210">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能应用知识解决一般问题，方案基本可行。</w:t>
            </w:r>
          </w:p>
        </w:tc>
        <w:tc>
          <w:tcPr>
            <w:tcW w:w="1883" w:type="dxa"/>
            <w:tcBorders>
              <w:top w:val="single" w:color="000000" w:sz="4" w:space="0"/>
              <w:left w:val="single" w:color="000000" w:sz="4" w:space="0"/>
              <w:bottom w:val="single" w:color="000000" w:sz="4" w:space="0"/>
              <w:right w:val="single" w:color="000000" w:sz="4" w:space="0"/>
            </w:tcBorders>
            <w:vAlign w:val="center"/>
          </w:tcPr>
          <w:p w14:paraId="4D76A87B">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能应用知识解决简单问题，但方案存在缺陷。</w:t>
            </w:r>
          </w:p>
        </w:tc>
        <w:tc>
          <w:tcPr>
            <w:tcW w:w="1700" w:type="dxa"/>
            <w:tcBorders>
              <w:top w:val="single" w:color="000000" w:sz="4" w:space="0"/>
              <w:left w:val="single" w:color="000000" w:sz="4" w:space="0"/>
              <w:bottom w:val="single" w:color="000000" w:sz="4" w:space="0"/>
              <w:right w:val="single" w:color="000000" w:sz="4" w:space="0"/>
            </w:tcBorders>
            <w:vAlign w:val="center"/>
          </w:tcPr>
          <w:p w14:paraId="4D7FF1DB">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应用能力弱，难以解决问题。</w:t>
            </w:r>
          </w:p>
        </w:tc>
        <w:tc>
          <w:tcPr>
            <w:tcW w:w="1684" w:type="dxa"/>
            <w:tcBorders>
              <w:top w:val="single" w:color="000000" w:sz="4" w:space="0"/>
              <w:left w:val="single" w:color="000000" w:sz="4" w:space="0"/>
              <w:bottom w:val="single" w:color="000000" w:sz="4" w:space="0"/>
              <w:right w:val="single" w:color="000000" w:sz="4" w:space="0"/>
            </w:tcBorders>
            <w:vAlign w:val="center"/>
          </w:tcPr>
          <w:p w14:paraId="796468D0">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无法应用知识解决问题。</w:t>
            </w:r>
          </w:p>
        </w:tc>
      </w:tr>
      <w:tr w14:paraId="1BF4F0B1">
        <w:tblPrEx>
          <w:tblCellMar>
            <w:top w:w="56" w:type="dxa"/>
            <w:left w:w="96" w:type="dxa"/>
            <w:bottom w:w="56" w:type="dxa"/>
            <w:right w:w="96" w:type="dxa"/>
          </w:tblCellMar>
        </w:tblPrEx>
        <w:trPr>
          <w:trHeight w:val="0" w:hRule="atLeast"/>
          <w:jc w:val="center"/>
        </w:trPr>
        <w:tc>
          <w:tcPr>
            <w:tcW w:w="1572" w:type="dxa"/>
            <w:tcBorders>
              <w:top w:val="single" w:color="000000" w:sz="4" w:space="0"/>
              <w:left w:val="single" w:color="000000" w:sz="4" w:space="0"/>
              <w:bottom w:val="single" w:color="000000" w:sz="4" w:space="0"/>
              <w:right w:val="single" w:color="000000" w:sz="4" w:space="0"/>
            </w:tcBorders>
            <w:vAlign w:val="center"/>
          </w:tcPr>
          <w:p w14:paraId="3AABA802">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职业素养表现</w:t>
            </w:r>
          </w:p>
        </w:tc>
        <w:tc>
          <w:tcPr>
            <w:tcW w:w="2294" w:type="dxa"/>
            <w:tcBorders>
              <w:top w:val="single" w:color="000000" w:sz="4" w:space="0"/>
              <w:left w:val="single" w:color="000000" w:sz="4" w:space="0"/>
              <w:bottom w:val="single" w:color="000000" w:sz="4" w:space="0"/>
              <w:right w:val="single" w:color="000000" w:sz="4" w:space="0"/>
            </w:tcBorders>
            <w:vAlign w:val="center"/>
          </w:tcPr>
          <w:p w14:paraId="332D8C50">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展现出强烈的使命感、责任感，团队协作意识强，行为规范。</w:t>
            </w:r>
          </w:p>
        </w:tc>
        <w:tc>
          <w:tcPr>
            <w:tcW w:w="1930" w:type="dxa"/>
            <w:tcBorders>
              <w:top w:val="single" w:color="000000" w:sz="4" w:space="0"/>
              <w:left w:val="single" w:color="000000" w:sz="4" w:space="0"/>
              <w:bottom w:val="single" w:color="000000" w:sz="4" w:space="0"/>
              <w:right w:val="single" w:color="000000" w:sz="4" w:space="0"/>
            </w:tcBorders>
            <w:vAlign w:val="center"/>
          </w:tcPr>
          <w:p w14:paraId="1C2EDB40">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表现出较好的职业态度，能遵守纪律。</w:t>
            </w:r>
          </w:p>
        </w:tc>
        <w:tc>
          <w:tcPr>
            <w:tcW w:w="1883" w:type="dxa"/>
            <w:tcBorders>
              <w:top w:val="single" w:color="000000" w:sz="4" w:space="0"/>
              <w:left w:val="single" w:color="000000" w:sz="4" w:space="0"/>
              <w:bottom w:val="single" w:color="000000" w:sz="4" w:space="0"/>
              <w:right w:val="single" w:color="000000" w:sz="4" w:space="0"/>
            </w:tcBorders>
            <w:vAlign w:val="center"/>
          </w:tcPr>
          <w:p w14:paraId="2B90302B">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职业态度一般，偶有违纪行为。</w:t>
            </w:r>
          </w:p>
        </w:tc>
        <w:tc>
          <w:tcPr>
            <w:tcW w:w="1700" w:type="dxa"/>
            <w:tcBorders>
              <w:top w:val="single" w:color="000000" w:sz="4" w:space="0"/>
              <w:left w:val="single" w:color="000000" w:sz="4" w:space="0"/>
              <w:bottom w:val="single" w:color="000000" w:sz="4" w:space="0"/>
              <w:right w:val="single" w:color="000000" w:sz="4" w:space="0"/>
            </w:tcBorders>
            <w:vAlign w:val="center"/>
          </w:tcPr>
          <w:p w14:paraId="4B2ABA9F">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职业意识淡薄，常有不当言行。</w:t>
            </w:r>
          </w:p>
        </w:tc>
        <w:tc>
          <w:tcPr>
            <w:tcW w:w="1684" w:type="dxa"/>
            <w:tcBorders>
              <w:top w:val="single" w:color="000000" w:sz="4" w:space="0"/>
              <w:left w:val="single" w:color="000000" w:sz="4" w:space="0"/>
              <w:bottom w:val="single" w:color="000000" w:sz="4" w:space="0"/>
              <w:right w:val="single" w:color="000000" w:sz="4" w:space="0"/>
            </w:tcBorders>
            <w:vAlign w:val="center"/>
          </w:tcPr>
          <w:p w14:paraId="72F0BD98">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严重违反职业道德，影响团队。</w:t>
            </w:r>
          </w:p>
        </w:tc>
      </w:tr>
      <w:bookmarkEnd w:id="5"/>
    </w:tbl>
    <w:p w14:paraId="0D8F233A">
      <w:pPr>
        <w:pStyle w:val="4"/>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val="0"/>
          <w:bCs/>
          <w:sz w:val="28"/>
          <w:szCs w:val="28"/>
        </w:rPr>
      </w:pPr>
      <w:bookmarkStart w:id="6" w:name="成绩评定"/>
      <w:r>
        <w:rPr>
          <w:rFonts w:hint="eastAsia" w:ascii="楷体_GB2312" w:hAnsi="楷体_GB2312" w:eastAsia="楷体_GB2312" w:cs="楷体_GB2312"/>
          <w:b w:val="0"/>
          <w:bCs/>
          <w:i w:val="0"/>
          <w:sz w:val="28"/>
          <w:szCs w:val="28"/>
          <w:lang w:val="en-US" w:eastAsia="zh-CN"/>
        </w:rPr>
        <w:t>（四）</w:t>
      </w:r>
      <w:r>
        <w:rPr>
          <w:rFonts w:hint="eastAsia" w:ascii="楷体_GB2312" w:hAnsi="楷体_GB2312" w:eastAsia="楷体_GB2312" w:cs="楷体_GB2312"/>
          <w:b w:val="0"/>
          <w:bCs/>
          <w:i w:val="0"/>
          <w:sz w:val="28"/>
          <w:szCs w:val="28"/>
        </w:rPr>
        <w:t>成绩评定</w:t>
      </w:r>
    </w:p>
    <w:tbl>
      <w:tblPr>
        <w:tblStyle w:val="15"/>
        <w:tblW w:w="9288" w:type="dxa"/>
        <w:jc w:val="center"/>
        <w:tblLayout w:type="fixed"/>
        <w:tblCellMar>
          <w:top w:w="80" w:type="dxa"/>
          <w:left w:w="128" w:type="dxa"/>
          <w:bottom w:w="80" w:type="dxa"/>
          <w:right w:w="128" w:type="dxa"/>
        </w:tblCellMar>
      </w:tblPr>
      <w:tblGrid>
        <w:gridCol w:w="4256"/>
        <w:gridCol w:w="776"/>
        <w:gridCol w:w="4256"/>
      </w:tblGrid>
      <w:tr w14:paraId="461828F9">
        <w:tblPrEx>
          <w:tblCellMar>
            <w:top w:w="80" w:type="dxa"/>
            <w:left w:w="128" w:type="dxa"/>
            <w:bottom w:w="80" w:type="dxa"/>
            <w:right w:w="128" w:type="dxa"/>
          </w:tblCellMar>
        </w:tblPrEx>
        <w:trPr>
          <w:trHeight w:val="0" w:hRule="atLeast"/>
          <w:tblHeader/>
          <w:jc w:val="center"/>
        </w:trPr>
        <w:tc>
          <w:tcPr>
            <w:tcW w:w="425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DE1D6A7">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总成绩合成方法</w:t>
            </w:r>
          </w:p>
        </w:tc>
        <w:tc>
          <w:tcPr>
            <w:tcW w:w="77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BCED304">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权重</w:t>
            </w:r>
          </w:p>
        </w:tc>
        <w:tc>
          <w:tcPr>
            <w:tcW w:w="425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0B7E091">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eastAsia="zh-CN"/>
              </w:rPr>
              <w:t>等级划分</w:t>
            </w:r>
          </w:p>
        </w:tc>
      </w:tr>
      <w:tr w14:paraId="7B7A8297">
        <w:tblPrEx>
          <w:tblCellMar>
            <w:top w:w="80" w:type="dxa"/>
            <w:left w:w="128" w:type="dxa"/>
            <w:bottom w:w="80" w:type="dxa"/>
            <w:right w:w="128" w:type="dxa"/>
          </w:tblCellMar>
        </w:tblPrEx>
        <w:trPr>
          <w:trHeight w:val="0" w:hRule="atLeast"/>
          <w:jc w:val="center"/>
        </w:trPr>
        <w:tc>
          <w:tcPr>
            <w:tcW w:w="4256" w:type="dxa"/>
            <w:tcBorders>
              <w:top w:val="single" w:color="000000" w:sz="4" w:space="0"/>
              <w:left w:val="single" w:color="000000" w:sz="4" w:space="0"/>
              <w:bottom w:val="single" w:color="000000" w:sz="4" w:space="0"/>
              <w:right w:val="single" w:color="000000" w:sz="4" w:space="0"/>
            </w:tcBorders>
            <w:vAlign w:val="center"/>
          </w:tcPr>
          <w:p w14:paraId="35990AA5">
            <w:pPr>
              <w:pStyle w:val="14"/>
              <w:pageBreakBefore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过程性评价（</w:t>
            </w:r>
            <w:r>
              <w:rPr>
                <w:rFonts w:hint="eastAsia" w:ascii="仿宋_GB2312" w:hAnsi="仿宋_GB2312" w:eastAsia="仿宋_GB2312" w:cs="仿宋_GB2312"/>
                <w:sz w:val="24"/>
                <w:szCs w:val="24"/>
                <w:lang w:val="en-US" w:eastAsia="zh-CN"/>
              </w:rPr>
              <w:t>40</w:t>
            </w:r>
            <w:r>
              <w:rPr>
                <w:rFonts w:hint="eastAsia" w:ascii="仿宋_GB2312" w:hAnsi="仿宋_GB2312" w:eastAsia="仿宋_GB2312" w:cs="仿宋_GB2312"/>
                <w:sz w:val="24"/>
                <w:szCs w:val="24"/>
              </w:rPr>
              <w:t>%） + 终结性评价（</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rPr>
              <w:t>%） = 最终成绩</w:t>
            </w:r>
          </w:p>
        </w:tc>
        <w:tc>
          <w:tcPr>
            <w:tcW w:w="776" w:type="dxa"/>
            <w:tcBorders>
              <w:top w:val="single" w:color="000000" w:sz="4" w:space="0"/>
              <w:left w:val="single" w:color="000000" w:sz="4" w:space="0"/>
              <w:bottom w:val="single" w:color="000000" w:sz="4" w:space="0"/>
              <w:right w:val="single" w:color="000000" w:sz="4" w:space="0"/>
            </w:tcBorders>
            <w:vAlign w:val="center"/>
          </w:tcPr>
          <w:p w14:paraId="77DD399A">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4256" w:type="dxa"/>
            <w:tcBorders>
              <w:top w:val="single" w:color="000000" w:sz="4" w:space="0"/>
              <w:left w:val="single" w:color="000000" w:sz="4" w:space="0"/>
              <w:bottom w:val="single" w:color="000000" w:sz="4" w:space="0"/>
              <w:right w:val="single" w:color="000000" w:sz="4" w:space="0"/>
            </w:tcBorders>
            <w:vAlign w:val="center"/>
          </w:tcPr>
          <w:p w14:paraId="361F6877">
            <w:pPr>
              <w:pStyle w:val="14"/>
              <w:pageBreakBefore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优秀</w:t>
            </w:r>
            <w:r>
              <w:rPr>
                <w:rFonts w:hint="eastAsia" w:ascii="仿宋_GB2312" w:hAnsi="仿宋_GB2312" w:eastAsia="仿宋_GB2312" w:cs="仿宋_GB2312"/>
                <w:sz w:val="24"/>
                <w:szCs w:val="24"/>
              </w:rPr>
              <w:t>：90-100分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sz w:val="24"/>
                <w:szCs w:val="24"/>
              </w:rPr>
              <w:t>良好</w:t>
            </w:r>
            <w:r>
              <w:rPr>
                <w:rFonts w:hint="eastAsia" w:ascii="仿宋_GB2312" w:hAnsi="仿宋_GB2312" w:eastAsia="仿宋_GB2312" w:cs="仿宋_GB2312"/>
                <w:sz w:val="24"/>
                <w:szCs w:val="24"/>
              </w:rPr>
              <w:t>：80-89分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sz w:val="24"/>
                <w:szCs w:val="24"/>
              </w:rPr>
              <w:t>中等</w:t>
            </w:r>
            <w:r>
              <w:rPr>
                <w:rFonts w:hint="eastAsia" w:ascii="仿宋_GB2312" w:hAnsi="仿宋_GB2312" w:eastAsia="仿宋_GB2312" w:cs="仿宋_GB2312"/>
                <w:sz w:val="24"/>
                <w:szCs w:val="24"/>
              </w:rPr>
              <w:t>：70-79分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sz w:val="24"/>
                <w:szCs w:val="24"/>
              </w:rPr>
              <w:t>及格</w:t>
            </w:r>
            <w:r>
              <w:rPr>
                <w:rFonts w:hint="eastAsia" w:ascii="仿宋_GB2312" w:hAnsi="仿宋_GB2312" w:eastAsia="仿宋_GB2312" w:cs="仿宋_GB2312"/>
                <w:sz w:val="24"/>
                <w:szCs w:val="24"/>
              </w:rPr>
              <w:t>：60-69分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b/>
                <w:bCs/>
                <w:sz w:val="24"/>
                <w:szCs w:val="24"/>
              </w:rPr>
              <w:t>不及格</w:t>
            </w:r>
            <w:r>
              <w:rPr>
                <w:rFonts w:hint="eastAsia" w:ascii="仿宋_GB2312" w:hAnsi="仿宋_GB2312" w:eastAsia="仿宋_GB2312" w:cs="仿宋_GB2312"/>
                <w:sz w:val="24"/>
                <w:szCs w:val="24"/>
              </w:rPr>
              <w:t>：0-59分</w:t>
            </w:r>
          </w:p>
        </w:tc>
      </w:tr>
      <w:bookmarkEnd w:id="2"/>
      <w:bookmarkEnd w:id="6"/>
    </w:tbl>
    <w:p w14:paraId="7D2BC5B2">
      <w:pPr>
        <w:rPr>
          <w:rFonts w:ascii="黑体" w:hAnsi="黑体" w:eastAsia="黑体" w:cs="黑体"/>
        </w:rPr>
      </w:pPr>
      <w:r>
        <w:rPr>
          <w:rFonts w:hint="eastAsia" w:ascii="黑体" w:hAnsi="黑体" w:eastAsia="黑体" w:cs="黑体"/>
        </w:rPr>
        <w:t>七、课程实施要求</w:t>
      </w:r>
    </w:p>
    <w:p w14:paraId="75CC256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教学团队</w:t>
      </w:r>
    </w:p>
    <w:p w14:paraId="47E72DA7">
      <w:pPr>
        <w:pStyle w:val="13"/>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建议任课教师具备以下条件：</w:t>
      </w:r>
    </w:p>
    <w:p w14:paraId="588F2A69">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专业背景：冶金工程、材料科学与工程、思想政治教育等相关专业硕士及以上学历。</w:t>
      </w:r>
    </w:p>
    <w:p w14:paraId="5F7B1A18">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实践经验：有在钢铁企业工作或实习经历，熟悉一线生产流程与企业文化。</w:t>
      </w:r>
    </w:p>
    <w:p w14:paraId="2762296D">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教学能力：擅长案例教学、情境教学，能灵活运用多种教学方法。</w:t>
      </w:r>
    </w:p>
    <w:p w14:paraId="605A528B">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4、</w:t>
      </w:r>
      <w:r>
        <w:rPr>
          <w:rFonts w:hint="eastAsia" w:ascii="仿宋_GB2312" w:hAnsi="仿宋_GB2312" w:eastAsia="仿宋_GB2312" w:cs="仿宋_GB2312"/>
          <w:b w:val="0"/>
          <w:bCs w:val="0"/>
          <w:sz w:val="28"/>
          <w:szCs w:val="28"/>
        </w:rPr>
        <w:t>“双师”素质：持有高级</w:t>
      </w:r>
      <w:r>
        <w:rPr>
          <w:rFonts w:hint="eastAsia" w:ascii="仿宋_GB2312" w:hAnsi="仿宋_GB2312" w:eastAsia="仿宋_GB2312" w:cs="仿宋_GB2312"/>
          <w:b w:val="0"/>
          <w:bCs w:val="0"/>
          <w:sz w:val="28"/>
          <w:szCs w:val="28"/>
          <w:lang w:val="en-US" w:eastAsia="zh-CN"/>
        </w:rPr>
        <w:t>技能证书</w:t>
      </w:r>
      <w:r>
        <w:rPr>
          <w:rFonts w:hint="eastAsia" w:ascii="仿宋_GB2312" w:hAnsi="仿宋_GB2312" w:eastAsia="仿宋_GB2312" w:cs="仿宋_GB2312"/>
          <w:b w:val="0"/>
          <w:bCs w:val="0"/>
          <w:sz w:val="28"/>
          <w:szCs w:val="28"/>
        </w:rPr>
        <w:t>或注册工程师资格，具备一定的行业影响力。</w:t>
      </w:r>
    </w:p>
    <w:p w14:paraId="2639B3A2">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28"/>
          <w:szCs w:val="28"/>
        </w:rPr>
        <w:t>思政素养：</w:t>
      </w:r>
      <w:r>
        <w:rPr>
          <w:rFonts w:hint="eastAsia" w:ascii="仿宋_GB2312" w:hAnsi="仿宋_GB2312" w:eastAsia="仿宋_GB2312" w:cs="仿宋_GB2312"/>
          <w:sz w:val="28"/>
          <w:szCs w:val="28"/>
        </w:rPr>
        <w:t>政治立场坚定，具备较强的家国情怀与职业责任感。</w:t>
      </w:r>
    </w:p>
    <w:p w14:paraId="790871A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教学设施与设备要求</w:t>
      </w:r>
    </w:p>
    <w:p w14:paraId="6DA523F3">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多媒体教室：</w:t>
      </w:r>
      <w:r>
        <w:rPr>
          <w:sz w:val="28"/>
          <w:szCs w:val="28"/>
        </w:rPr>
        <w:t>配备投影仪、音响、麦克风，用于播放视频、组织讨论。</w:t>
      </w:r>
    </w:p>
    <w:p w14:paraId="2D983807">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sz w:val="28"/>
          <w:szCs w:val="28"/>
        </w:rPr>
      </w:pPr>
      <w:r>
        <w:rPr>
          <w:rFonts w:hint="eastAsia" w:ascii="仿宋_GB2312" w:hAnsi="仿宋_GB2312" w:eastAsia="仿宋_GB2312" w:cs="仿宋_GB2312"/>
          <w:b w:val="0"/>
          <w:bCs w:val="0"/>
          <w:sz w:val="28"/>
          <w:szCs w:val="28"/>
          <w:lang w:val="en-US" w:eastAsia="zh-CN"/>
        </w:rPr>
        <w:t>2、</w:t>
      </w:r>
      <w:r>
        <w:rPr>
          <w:rFonts w:hint="default" w:ascii="Times New Roman" w:hAnsi="Times New Roman" w:eastAsia="仿宋_GB2312" w:cs="Times New Roman"/>
          <w:b w:val="0"/>
          <w:bCs w:val="0"/>
          <w:sz w:val="28"/>
          <w:szCs w:val="28"/>
        </w:rPr>
        <w:t>VR/AR</w:t>
      </w:r>
      <w:r>
        <w:rPr>
          <w:rFonts w:hint="eastAsia" w:ascii="仿宋_GB2312" w:hAnsi="仿宋_GB2312" w:eastAsia="仿宋_GB2312" w:cs="仿宋_GB2312"/>
          <w:b w:val="0"/>
          <w:bCs w:val="0"/>
          <w:sz w:val="28"/>
          <w:szCs w:val="28"/>
        </w:rPr>
        <w:t>设备：</w:t>
      </w:r>
      <w:r>
        <w:rPr>
          <w:sz w:val="28"/>
          <w:szCs w:val="28"/>
        </w:rPr>
        <w:t>用于虚拟参观钢铁企业厂区、历史纪念馆等。</w:t>
      </w:r>
    </w:p>
    <w:p w14:paraId="5AF5F5BA">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录音录像设备：</w:t>
      </w:r>
      <w:r>
        <w:rPr>
          <w:sz w:val="28"/>
          <w:szCs w:val="28"/>
        </w:rPr>
        <w:t>供学生录制微视频、演讲、答辩等。</w:t>
      </w:r>
    </w:p>
    <w:p w14:paraId="499CF2EF">
      <w:pPr>
        <w:pStyle w:val="14"/>
        <w:pageBreakBefore w:val="0"/>
        <w:numPr>
          <w:ilvl w:val="0"/>
          <w:numId w:val="0"/>
        </w:numPr>
        <w:kinsoku/>
        <w:wordWrap/>
        <w:overflowPunct/>
        <w:topLinePunct w:val="0"/>
        <w:autoSpaceDE/>
        <w:autoSpaceDN/>
        <w:bidi w:val="0"/>
        <w:adjustRightIn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lang w:eastAsia="zh-CN"/>
        </w:rPr>
        <w:t>）</w:t>
      </w:r>
      <w:r>
        <w:rPr>
          <w:rFonts w:hint="eastAsia" w:ascii="楷体_GB2312" w:hAnsi="楷体_GB2312" w:eastAsia="楷体_GB2312" w:cs="楷体_GB2312"/>
        </w:rPr>
        <w:t>实验室或实训基地条件</w:t>
      </w:r>
    </w:p>
    <w:p w14:paraId="39950D9E">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模拟“孟泰仓库”展示区：陈列废旧管道、螺栓、阀门等实物，供学生观察与体验。</w:t>
      </w:r>
    </w:p>
    <w:p w14:paraId="10D12A1D">
      <w:pPr>
        <w:pStyle w:val="14"/>
        <w:pageBreakBefore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基础实验设备：金相显微镜、砂纸、抛光布等，用于简单实验。</w:t>
      </w:r>
    </w:p>
    <w:p w14:paraId="68B5D75F">
      <w:p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3、虚拟仿真：</w:t>
      </w:r>
      <w:r>
        <w:rPr>
          <w:rFonts w:hint="eastAsia" w:ascii="仿宋_GB2312" w:hAnsi="仿宋_GB2312" w:eastAsia="仿宋_GB2312" w:cs="仿宋_GB2312"/>
          <w:b w:val="0"/>
          <w:bCs w:val="0"/>
          <w:color w:val="000000"/>
          <w:sz w:val="28"/>
          <w:szCs w:val="28"/>
        </w:rPr>
        <w:t>山东星科炼铁</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炼钢</w:t>
      </w:r>
      <w:r>
        <w:rPr>
          <w:rFonts w:hint="eastAsia" w:ascii="仿宋_GB2312" w:hAnsi="仿宋_GB2312" w:eastAsia="仿宋_GB2312" w:cs="仿宋_GB2312"/>
          <w:b w:val="0"/>
          <w:bCs w:val="0"/>
          <w:color w:val="000000"/>
          <w:sz w:val="28"/>
          <w:szCs w:val="28"/>
        </w:rPr>
        <w:t>仿真系统</w:t>
      </w:r>
    </w:p>
    <w:p w14:paraId="66A665EF">
      <w:pPr>
        <w:rPr>
          <w:rFonts w:ascii="黑体" w:hAnsi="黑体" w:eastAsia="黑体" w:cs="黑体"/>
        </w:rPr>
      </w:pPr>
      <w:r>
        <w:rPr>
          <w:rFonts w:hint="eastAsia" w:ascii="黑体" w:hAnsi="黑体" w:eastAsia="黑体" w:cs="黑体"/>
        </w:rPr>
        <w:t>八、附录</w:t>
      </w:r>
    </w:p>
    <w:p w14:paraId="7FC062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研发团队</w:t>
      </w:r>
    </w:p>
    <w:p w14:paraId="60ECF2A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本课程研发团队以“校企协同、共育行业适配人才”为核心目标，由</w:t>
      </w:r>
      <w:r>
        <w:rPr>
          <w:rFonts w:hint="eastAsia" w:ascii="仿宋_GB2312" w:hAnsi="仿宋_GB2312" w:eastAsia="仿宋_GB2312" w:cs="仿宋_GB2312"/>
          <w:sz w:val="28"/>
          <w:szCs w:val="28"/>
          <w:lang w:val="en-US" w:eastAsia="zh-CN"/>
        </w:rPr>
        <w:t>日照</w:t>
      </w:r>
      <w:r>
        <w:rPr>
          <w:rFonts w:hint="eastAsia" w:ascii="仿宋_GB2312" w:hAnsi="仿宋_GB2312" w:eastAsia="仿宋_GB2312" w:cs="仿宋_GB2312"/>
          <w:sz w:val="28"/>
          <w:szCs w:val="28"/>
        </w:rPr>
        <w:t>职业技术学院</w:t>
      </w:r>
      <w:r>
        <w:rPr>
          <w:rFonts w:hint="eastAsia" w:ascii="仿宋_GB2312" w:hAnsi="仿宋_GB2312" w:eastAsia="仿宋_GB2312" w:cs="仿宋_GB2312"/>
          <w:sz w:val="28"/>
          <w:szCs w:val="28"/>
          <w:lang w:val="en-US" w:eastAsia="zh-CN"/>
        </w:rPr>
        <w:t>钢铁智能冶金技术教研室</w:t>
      </w:r>
      <w:r>
        <w:rPr>
          <w:rFonts w:hint="eastAsia" w:ascii="仿宋_GB2312" w:hAnsi="仿宋_GB2312" w:eastAsia="仿宋_GB2312" w:cs="仿宋_GB2312"/>
          <w:sz w:val="28"/>
          <w:szCs w:val="28"/>
        </w:rPr>
        <w:t>教师团队与</w:t>
      </w:r>
      <w:r>
        <w:rPr>
          <w:rFonts w:hint="eastAsia" w:ascii="仿宋_GB2312" w:hAnsi="仿宋_GB2312" w:eastAsia="仿宋_GB2312" w:cs="仿宋_GB2312"/>
          <w:sz w:val="28"/>
          <w:szCs w:val="28"/>
          <w:lang w:val="en-US" w:eastAsia="zh-CN"/>
        </w:rPr>
        <w:t>日照</w:t>
      </w:r>
      <w:r>
        <w:rPr>
          <w:rFonts w:hint="eastAsia" w:ascii="仿宋_GB2312" w:hAnsi="仿宋_GB2312" w:eastAsia="仿宋_GB2312" w:cs="仿宋_GB2312"/>
          <w:sz w:val="28"/>
          <w:szCs w:val="28"/>
        </w:rPr>
        <w:t>钢铁</w:t>
      </w:r>
      <w:r>
        <w:rPr>
          <w:rFonts w:hint="eastAsia" w:ascii="仿宋_GB2312" w:hAnsi="仿宋_GB2312" w:eastAsia="仿宋_GB2312" w:cs="仿宋_GB2312"/>
          <w:sz w:val="28"/>
          <w:szCs w:val="28"/>
          <w:lang w:val="en-US" w:eastAsia="zh-CN"/>
        </w:rPr>
        <w:t>控股集团有限公司</w:t>
      </w:r>
      <w:r>
        <w:rPr>
          <w:rFonts w:hint="eastAsia" w:ascii="仿宋_GB2312" w:hAnsi="仿宋_GB2312" w:eastAsia="仿宋_GB2312" w:cs="仿宋_GB2312"/>
          <w:sz w:val="28"/>
          <w:szCs w:val="28"/>
        </w:rPr>
        <w:t>人力资源部及生产车间骨干共同组建。团队兼具高校教育教学规律把握能力与钢铁企业实战经验，全程遵循“企业需求导向、岗位能力匹配、文化素养共育”原则，联合完成课程标准制定、内容研发、资源建设与质量评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5611"/>
    <w:multiLevelType w:val="singleLevel"/>
    <w:tmpl w:val="CCB65611"/>
    <w:lvl w:ilvl="0" w:tentative="0">
      <w:start w:val="2"/>
      <w:numFmt w:val="chineseCounting"/>
      <w:suff w:val="nothing"/>
      <w:lvlText w:val="（%1）"/>
      <w:lvlJc w:val="left"/>
      <w:rPr>
        <w:rFonts w:hint="eastAsia"/>
      </w:rPr>
    </w:lvl>
  </w:abstractNum>
  <w:abstractNum w:abstractNumId="1">
    <w:nsid w:val="FDD5EAAB"/>
    <w:multiLevelType w:val="singleLevel"/>
    <w:tmpl w:val="FDD5EAAB"/>
    <w:lvl w:ilvl="0" w:tentative="0">
      <w:start w:val="2"/>
      <w:numFmt w:val="decimal"/>
      <w:lvlText w:val="%1."/>
      <w:lvlJc w:val="left"/>
      <w:pPr>
        <w:tabs>
          <w:tab w:val="left" w:pos="312"/>
        </w:tabs>
      </w:pPr>
    </w:lvl>
  </w:abstractNum>
  <w:abstractNum w:abstractNumId="2">
    <w:nsid w:val="1878FC12"/>
    <w:multiLevelType w:val="singleLevel"/>
    <w:tmpl w:val="1878FC12"/>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MDYxZmM3ZDViM2JiNTNiNjQ3OTEwNzRmOGEzYWQifQ=="/>
  </w:docVars>
  <w:rsids>
    <w:rsidRoot w:val="2FC84807"/>
    <w:rsid w:val="00134647"/>
    <w:rsid w:val="0069447A"/>
    <w:rsid w:val="00797E4F"/>
    <w:rsid w:val="09605896"/>
    <w:rsid w:val="0E071B98"/>
    <w:rsid w:val="107C0AD5"/>
    <w:rsid w:val="18E9571F"/>
    <w:rsid w:val="19EC0A79"/>
    <w:rsid w:val="1C5E09B1"/>
    <w:rsid w:val="1D4961E3"/>
    <w:rsid w:val="1E240486"/>
    <w:rsid w:val="226C4CD9"/>
    <w:rsid w:val="28820C02"/>
    <w:rsid w:val="2C9201D5"/>
    <w:rsid w:val="2FC84807"/>
    <w:rsid w:val="392576AC"/>
    <w:rsid w:val="3CB6189E"/>
    <w:rsid w:val="426D00FA"/>
    <w:rsid w:val="44372F57"/>
    <w:rsid w:val="474207D5"/>
    <w:rsid w:val="499C44E6"/>
    <w:rsid w:val="4B4C5E35"/>
    <w:rsid w:val="4E0832E3"/>
    <w:rsid w:val="4F0137A0"/>
    <w:rsid w:val="4F4F3717"/>
    <w:rsid w:val="525B50B2"/>
    <w:rsid w:val="5C4E0B7B"/>
    <w:rsid w:val="61A96E98"/>
    <w:rsid w:val="63864660"/>
    <w:rsid w:val="665D3308"/>
    <w:rsid w:val="6CC82FBB"/>
    <w:rsid w:val="6D4E184E"/>
    <w:rsid w:val="6E6E3CDF"/>
    <w:rsid w:val="72E41F83"/>
    <w:rsid w:val="76363B09"/>
    <w:rsid w:val="796926C2"/>
    <w:rsid w:val="7AAF05A8"/>
    <w:rsid w:val="7AD15AE0"/>
    <w:rsid w:val="7ECE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32"/>
      <w:szCs w:val="32"/>
      <w:lang w:val="en-US" w:eastAsia="zh-CN" w:bidi="ar-SA"/>
    </w:rPr>
  </w:style>
  <w:style w:type="paragraph" w:styleId="2">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000000"/>
      <w:sz w:val="24"/>
      <w:szCs w:val="24"/>
    </w:rPr>
  </w:style>
  <w:style w:type="paragraph" w:styleId="4">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000000"/>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qFormat/>
    <w:uiPriority w:val="0"/>
    <w:rPr>
      <w:rFonts w:asciiTheme="minorHAnsi" w:hAnsiTheme="minorHAnsi" w:eastAsiaTheme="minorEastAsia"/>
      <w:sz w:val="18"/>
      <w:szCs w:val="18"/>
    </w:rPr>
  </w:style>
  <w:style w:type="character" w:customStyle="1" w:styleId="12">
    <w:name w:val="页脚 字符"/>
    <w:basedOn w:val="9"/>
    <w:link w:val="5"/>
    <w:qFormat/>
    <w:uiPriority w:val="0"/>
    <w:rPr>
      <w:rFonts w:asciiTheme="minorHAnsi" w:hAnsiTheme="minorHAnsi" w:eastAsiaTheme="minorEastAsia"/>
      <w:sz w:val="18"/>
      <w:szCs w:val="18"/>
    </w:rPr>
  </w:style>
  <w:style w:type="paragraph" w:customStyle="1" w:styleId="13">
    <w:name w:val="First Paragraph"/>
    <w:basedOn w:val="3"/>
    <w:next w:val="3"/>
    <w:qFormat/>
    <w:uiPriority w:val="0"/>
  </w:style>
  <w:style w:type="paragraph" w:customStyle="1" w:styleId="14">
    <w:name w:val="Compact"/>
    <w:basedOn w:val="3"/>
    <w:qFormat/>
    <w:uiPriority w:val="0"/>
    <w:pPr>
      <w:spacing w:before="36" w:after="36"/>
    </w:pPr>
  </w:style>
  <w:style w:type="table" w:customStyle="1" w:styleId="15">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2101</Words>
  <Characters>2133</Characters>
  <Lines>5</Lines>
  <Paragraphs>1</Paragraphs>
  <TotalTime>15</TotalTime>
  <ScaleCrop>false</ScaleCrop>
  <LinksUpToDate>false</LinksUpToDate>
  <CharactersWithSpaces>2148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2024-07-05T06:41:00Z</dcterms:created>
  <dc:creator>厉成龙</dc:creator>
  <cp:lastModifiedBy>嘿嘿</cp:lastModifiedBy>
  <dcterms:modified xsi:type="dcterms:W3CDTF">2025-12-02T04:54:50Z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D8A0462762E74CF1BF9D14154ADAAA66_13</vt:lpwstr>
  </property>
  <property fmtid="{D5CDD505-2E9C-101B-9397-08002B2CF9AE}" pid="4" name="KSOTemplateDocerSaveRecord">
    <vt:lpwstr>eyJoZGlkIjoiMzNhMzhlYmY0MTcyODQ1YWNkOTliZmI3M2UzNmQyNzYiLCJ1c2VySWQiOiI3NjIzNzQyMzEifQ==</vt:lpwstr>
  </property>
</Properties>
</file>