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1275" w14:textId="650B97EF" w:rsidR="00811C45" w:rsidRDefault="00A54556" w:rsidP="00811C45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A54556">
        <w:rPr>
          <w:rFonts w:ascii="宋体" w:eastAsia="宋体" w:hAnsi="宋体" w:hint="eastAsia"/>
          <w:b/>
          <w:bCs/>
          <w:sz w:val="44"/>
          <w:szCs w:val="44"/>
        </w:rPr>
        <w:t>“全球美食汇”创业项目策划方案</w:t>
      </w:r>
    </w:p>
    <w:p w14:paraId="279DA2BB" w14:textId="77777777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一、项目背景</w:t>
      </w:r>
    </w:p>
    <w:p w14:paraId="4602F5A2" w14:textId="6578A863" w:rsidR="00811C45" w:rsidRDefault="00811C45" w:rsidP="00EF3A61">
      <w:pPr>
        <w:spacing w:line="360" w:lineRule="auto"/>
        <w:rPr>
          <w:rFonts w:ascii="宋体" w:eastAsia="宋体" w:hAnsi="宋体"/>
          <w:sz w:val="24"/>
        </w:rPr>
      </w:pPr>
      <w:r w:rsidRPr="00811C45">
        <w:rPr>
          <w:rFonts w:ascii="宋体" w:eastAsia="宋体" w:hAnsi="宋体" w:hint="eastAsia"/>
          <w:sz w:val="24"/>
        </w:rPr>
        <w:t>在全球化深入发展与消费升级的大背景下，美食作为文化交流的重要载体，受到越来越多消费者的喜爱。人们对异国美食的好奇心与探索欲不断增强，但当前市场缺乏一个能全面整合全球美食资源、提供沉浸式体验的综合性平台。“全球美食汇”项目致力于填补这一空白，通过创新模式满足消费者对多元美食文化的需求，同时为全球美食商家搭建推广与销售的桥梁。</w:t>
      </w:r>
    </w:p>
    <w:p w14:paraId="6C9DE8BF" w14:textId="77777777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二、项目概述</w:t>
      </w:r>
    </w:p>
    <w:p w14:paraId="2BAFA0B4" w14:textId="6485D11F" w:rsidR="00811C45" w:rsidRDefault="00811C45" w:rsidP="00EF3A61">
      <w:pPr>
        <w:spacing w:line="360" w:lineRule="auto"/>
        <w:rPr>
          <w:rFonts w:ascii="宋体" w:eastAsia="宋体" w:hAnsi="宋体"/>
          <w:sz w:val="24"/>
        </w:rPr>
      </w:pPr>
      <w:r w:rsidRPr="00811C45">
        <w:rPr>
          <w:rFonts w:ascii="宋体" w:eastAsia="宋体" w:hAnsi="宋体" w:hint="eastAsia"/>
          <w:sz w:val="24"/>
        </w:rPr>
        <w:t>“全球美食汇”致力于构建线上线下融合的全球美食生态体系。线上搭建功能完备的美食服务平台，提供美食预订、外卖配送、文化资讯等服务;线下开设主题美食体验店，结合特色餐饮、文化展示、互动体验等元素，成为消费者沉浸式感受全球美食文化的空间。</w:t>
      </w:r>
    </w:p>
    <w:p w14:paraId="40060A19" w14:textId="77777777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三、市场分析</w:t>
      </w:r>
    </w:p>
    <w:p w14:paraId="42BE2CE9" w14:textId="77777777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国内市场</w:t>
      </w:r>
    </w:p>
    <w:p w14:paraId="14CDB998" w14:textId="77777777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1.需求旺盛:我国居民人均可支配收入提升，年轻消费群体成为主力军，对新鲜、特色美食的接受度高，愿意为独特的美食体验支付溢价。</w:t>
      </w:r>
    </w:p>
    <w:p w14:paraId="79B22C4A" w14:textId="07AC22E0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2.竞争格局:现有美食平台多聚焦本土餐饮或单一品类，缺乏对全球美食的深度整合与专业运营，细分市场存在较大空白。</w:t>
      </w:r>
    </w:p>
    <w:p w14:paraId="7072F1FB" w14:textId="07A90DDF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3.政策利好:政府积极推动消费升级与文旅产业融合，为美食相关项目提供政策支持与发展环境。</w:t>
      </w:r>
    </w:p>
    <w:p w14:paraId="04BA2C6A" w14:textId="77777777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国际市场</w:t>
      </w:r>
    </w:p>
    <w:p w14:paraId="7546864B" w14:textId="77777777" w:rsidR="00811C45" w:rsidRPr="00811C45" w:rsidRDefault="00811C45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811C45">
        <w:rPr>
          <w:rFonts w:ascii="宋体" w:eastAsia="宋体" w:hAnsi="宋体" w:hint="eastAsia"/>
          <w:sz w:val="24"/>
        </w:rPr>
        <w:t>1.文化输出需求:许多国家希望通过美食推广本国文化，扩大国际影响力，对海外市场推广有强烈合作意愿。</w:t>
      </w:r>
    </w:p>
    <w:p w14:paraId="3BB17E8C" w14:textId="77777777" w:rsidR="001525A8" w:rsidRDefault="00811C45" w:rsidP="00EF3A61">
      <w:pPr>
        <w:spacing w:line="360" w:lineRule="auto"/>
        <w:rPr>
          <w:rFonts w:ascii="宋体" w:eastAsia="宋体" w:hAnsi="宋体"/>
          <w:sz w:val="24"/>
        </w:rPr>
      </w:pPr>
      <w:r w:rsidRPr="00811C45">
        <w:rPr>
          <w:rFonts w:ascii="宋体" w:eastAsia="宋体" w:hAnsi="宋体" w:hint="eastAsia"/>
          <w:sz w:val="24"/>
        </w:rPr>
        <w:t>2.跨境合作机遇:跨境电商、国际物流的发展降低了全球美食贸易的门槛，为项目开展国际合作提供便利条件。</w:t>
      </w:r>
    </w:p>
    <w:p w14:paraId="350DA04B" w14:textId="7B85E499" w:rsidR="00811C45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lastRenderedPageBreak/>
        <w:t>3.市场潜力:在海外华人聚集区以及美食文化接受度高的地区，对中国美食及其他多元美食的需求稳定。</w:t>
      </w:r>
    </w:p>
    <w:p w14:paraId="49999B66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四、产品与服务</w:t>
      </w:r>
    </w:p>
    <w:p w14:paraId="24EB80CE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线上平台</w:t>
      </w:r>
    </w:p>
    <w:p w14:paraId="79B93620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1.美食预订与外卖:与全球各地的优质餐厅、美食品牌合作，建立丰富的美食产品库，提供多样化的美食选择。支持多语言界面和多种支付方式，实现全球范围内的美食预订与外卖配送服务，通过智能调度系统确保配送时效。</w:t>
      </w:r>
    </w:p>
    <w:p w14:paraId="515E5AEA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2.美食文化社区:用户可以在平台上分享美食</w:t>
      </w:r>
    </w:p>
    <w:p w14:paraId="2BD2B56D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体验、发布评价、交流烹饪心得，形成美食社交圈。平台定期发布美食纪录片、文化故事、烹饪教程等内容，增强用户对全球美食文化的了解与兴趣。</w:t>
      </w:r>
    </w:p>
    <w:p w14:paraId="6437CE9F" w14:textId="37AE4C8F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t>3.个性化推荐:利用大数据和人工智能技术，根据用户的浏览历史、消费偏好、地理位置等信息，实现精准的美食推荐和个性化服务，提升用户体验。</w:t>
      </w:r>
    </w:p>
    <w:p w14:paraId="6AD883DF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线下体验店</w:t>
      </w:r>
    </w:p>
    <w:p w14:paraId="0F480537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1.主题美食街区:按照地域划分不同的美食主题区域，如东南亚风情区、欧洲美食区、美洲特色区等，每个区域邀请当地知名餐厅或厨师入驻，还原地道美食风味。</w:t>
      </w:r>
    </w:p>
    <w:p w14:paraId="740D508D" w14:textId="34BBD5DA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2.美食文化展览馆:通过图片、视频、实物展示等方式，介绍全球各地美食的历史渊源、文化背景、传统烹饪技艺和特色食材，让消费者在品尝美食的同时深入了解美食文化。</w:t>
      </w:r>
    </w:p>
    <w:p w14:paraId="3DD830AD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3.互动体验中心:开设烹饪课堂、美食品鉴会、文化沙龙等活动，邀请专业厨师和美食专家现场教学和分享，让消费者亲身体验美食制作过程，增强参与感和趣味性。</w:t>
      </w:r>
    </w:p>
    <w:p w14:paraId="02159BE5" w14:textId="2507E61C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t>4.特色商品售卖区:销售与全球美食相关的特色食材、调料、厨具、餐具等商品，支持线上线下同步选购，满足消费者在家制作美食的需求。</w:t>
      </w:r>
    </w:p>
    <w:p w14:paraId="609BAC67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五、商业模式</w:t>
      </w:r>
    </w:p>
    <w:p w14:paraId="4F31DD9C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lastRenderedPageBreak/>
        <w:t>1.佣金收入:从线上美食预订、外卖订单中抽取一定比例佣金，作为主要收入来源。</w:t>
      </w:r>
    </w:p>
    <w:p w14:paraId="382C9629" w14:textId="3B1398D0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2.线下消费:线下体验店的餐饮消费、商品销售、活动收费等收入。</w:t>
      </w:r>
    </w:p>
    <w:p w14:paraId="218977CA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3.广告与推广:为餐厅、美食品牌提供线上广告位、专题推广服务，收取广告费用。</w:t>
      </w:r>
    </w:p>
    <w:p w14:paraId="31C55281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4.会员体系:推出付费会员服务，提供专属折扣、优先预订、免配送费等权益，增加用户复购率。</w:t>
      </w:r>
    </w:p>
    <w:p w14:paraId="76DB6A32" w14:textId="79DA38D4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t>5.供应链合作:与食材供应商、厨具品牌建立合作，通过商品销售差价盈利。</w:t>
      </w:r>
    </w:p>
    <w:p w14:paraId="0DCBBC8A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六、营销策略</w:t>
      </w:r>
    </w:p>
    <w:p w14:paraId="5C0CA6CA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国内营销</w:t>
      </w:r>
    </w:p>
    <w:p w14:paraId="5851644F" w14:textId="43C311FB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1.社交媒体营销:在微信、微博、抖音、小红书等国内主流社交媒体平台上，发布精美的美食图片、视频、探店笔记等内容，吸引用户关注。与美食博主、网红合作，进行产品推广和品牌宣传，开展直播带货、打卡挑战等活动，提高品牌知名度和影响力。</w:t>
      </w:r>
    </w:p>
    <w:p w14:paraId="4581FD58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2.线下活动推广:在商场、购物中心、社区等地举办美食节、试吃活动、烹饪比赛等线下活动，吸引消费者参与，增加品牌曝光度。与企业合作，开展员工美食福利计划，扩大客户群体。</w:t>
      </w:r>
    </w:p>
    <w:p w14:paraId="3AAEFEF8" w14:textId="2D95927E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t>3.跨界合作:与旅游公司、航空公司、酒店等行业进行跨界合作，推出“美食+旅游”“美食+住宿”等联合产品和套餐，实现资源共享和优势互补。</w:t>
      </w:r>
    </w:p>
    <w:p w14:paraId="2F947776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国际营销</w:t>
      </w:r>
    </w:p>
    <w:p w14:paraId="6DB7A5E2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1.海外社交媒体运营:利用Facebook、</w:t>
      </w:r>
    </w:p>
    <w:p w14:paraId="3963BBE6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Instagram、Twitter、YouTube等海外社交媒体平台，发布具有吸引力的美食内容，吸引海外用户关注。与海外美食博主、网红合作，进行本土化推广，提高品牌在国际市场的知名度。</w:t>
      </w:r>
    </w:p>
    <w:p w14:paraId="3533C56F" w14:textId="5E21AA1D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2.国际美食展会参展:参加全球知名的美食展会，如德国柏林国际绿色周、法国</w:t>
      </w:r>
      <w:r w:rsidRPr="001525A8">
        <w:rPr>
          <w:rFonts w:ascii="宋体" w:eastAsia="宋体" w:hAnsi="宋体" w:hint="eastAsia"/>
          <w:sz w:val="24"/>
        </w:rPr>
        <w:lastRenderedPageBreak/>
        <w:t>巴黎国际食品展等，展示项目特色和优势，与国际美食商家建立合作关系，拓展海外市场。</w:t>
      </w:r>
    </w:p>
    <w:p w14:paraId="4F3F0ACF" w14:textId="4C87F92B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3.跨境电商合作:与亚马逊、eBay、阿里巴巴国际站等跨境电商平台合作，开设官方旗舰店，销售特色美食商品，借助平台的流量和用户基础，扩大国际业务规模。</w:t>
      </w:r>
    </w:p>
    <w:p w14:paraId="3829068C" w14:textId="176ED046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4.本土化运营:针对不同国家和地区的市场特点、文化习俗和消费习惯，进行本土化的产品调整和营销策略制定，招聘当地员工，建立本地化运营团队，提高市场适应性和竞争力。</w:t>
      </w:r>
    </w:p>
    <w:p w14:paraId="18ECFE5B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七、团队组建</w:t>
      </w:r>
    </w:p>
    <w:p w14:paraId="56E6A633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1.管理团队:由具有丰富餐饮行业、电商运营、市场营销和企业管理经验的专业人士组成，负责项目的战略规划、运营决策和整体管理。</w:t>
      </w:r>
    </w:p>
    <w:p w14:paraId="6982D4C2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2.技术团队:包括软件开发工程师、系统架构师、数据分析师、UI设计师等，负责线上平台的开发、维护和升级，保障系统的稳定运行和功能优化。</w:t>
      </w:r>
    </w:p>
    <w:p w14:paraId="5B28F556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3.采购与供应链团队:具备国际贸易、供应链管理知识和经验的人员，负责全球美食资源的开发与合作，建立稳定的供应链体系，确保食材和商品的质量与供应。</w:t>
      </w:r>
    </w:p>
    <w:p w14:paraId="4D58BC6F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4.运营团队:负责线上平台的日常运营管理，包括商品上架、订单处理、客户服务等;以及线下体验店的运营管理，包括人员安排、服务质量控制、活动策划等。</w:t>
      </w:r>
    </w:p>
    <w:p w14:paraId="0C29758E" w14:textId="56D1DA9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5.市场与推广团队:由市场营销、品牌策划、公关活动等专业人员组成，负责制定和执行市场营销策略，开展品牌推广活动，提高项目的市场知名度和影响力。</w:t>
      </w:r>
    </w:p>
    <w:p w14:paraId="1ADB76D8" w14:textId="2D8F6EBA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t>6.文化与内容团队:由美食文化研究者、作家、摄影师、视频制作人员等组成，负责挖掘和整理全球美食文化内容，创作优质的图文、视频等内容，为平台和品牌赋能。</w:t>
      </w:r>
    </w:p>
    <w:p w14:paraId="2154B153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八、财务规划</w:t>
      </w:r>
    </w:p>
    <w:p w14:paraId="49238DB3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lastRenderedPageBreak/>
        <w:t>启动资金预算</w:t>
      </w:r>
    </w:p>
    <w:p w14:paraId="73FFEFFB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1.线上平台开发费用:包括网站建设、APP开发、服务器租赁、系统安全维护等，预计200万元。</w:t>
      </w:r>
    </w:p>
    <w:p w14:paraId="3CA655DD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2.线下体验店建设费用:包括场地租赁、装修设计、设备采购、人员招聘培训等，预计500万元(以一家中等规模体验店为例)。</w:t>
      </w:r>
    </w:p>
    <w:p w14:paraId="5438C57E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3.市场推广费用:线上广告投放、线下活动策划、社交媒体营销、网红合作等，预计150万元。</w:t>
      </w:r>
    </w:p>
    <w:p w14:paraId="20FD542F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4.供应链建设费用:与全球美食商家的合作洽谈、食材采购、物流运输等前期投入，预计100万元。</w:t>
      </w:r>
    </w:p>
    <w:p w14:paraId="319347A5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5.其他费用:包括办公场地租赁、办公设备购置、执照办理、法律咨询等，预计50万元。</w:t>
      </w:r>
    </w:p>
    <w:p w14:paraId="7D9A2F44" w14:textId="7A306419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t>启动资金总计约1000万元。</w:t>
      </w:r>
    </w:p>
    <w:p w14:paraId="3A09A4B8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运营成本预算</w:t>
      </w:r>
    </w:p>
    <w:p w14:paraId="1F00FBD1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1.人员工资:管理团队、技术团队、采购与供应链团队、运营团队、市场与推广团队、文化与内容团队等人员的工资、奖金、福利等，每月预计60万元。</w:t>
      </w:r>
    </w:p>
    <w:p w14:paraId="03C933A8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2.营销费用:持续的线上线下推广活动、广告投放、网红合作等费用，每月预计20万元。</w:t>
      </w:r>
    </w:p>
    <w:p w14:paraId="58CF6662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3.供应链成本:食材采购成本、物流运输费用、仓储管理费用等，每月预计30万元。</w:t>
      </w:r>
    </w:p>
    <w:p w14:paraId="279799D7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4.技术维护费用:线上平台的日常维护、系统升级、数据安全保障等费用，每月预计10万元。</w:t>
      </w:r>
    </w:p>
    <w:p w14:paraId="7DF59795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5.线下体验店运营成本:场地租金、水电费、设备维护费、人员培训费用等，每月预计40万元。</w:t>
      </w:r>
    </w:p>
    <w:p w14:paraId="51C51E19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6.其他费用:包括水电费、办公用品采购、差旅费、税费等，每月预计10万元。</w:t>
      </w:r>
    </w:p>
    <w:p w14:paraId="3087FE38" w14:textId="12207F60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lastRenderedPageBreak/>
        <w:t>每月运营成本总计约170万元。</w:t>
      </w:r>
    </w:p>
    <w:p w14:paraId="17C48201" w14:textId="77777777" w:rsidR="001525A8" w:rsidRPr="001525A8" w:rsidRDefault="001525A8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1525A8">
        <w:rPr>
          <w:rFonts w:ascii="宋体" w:eastAsia="宋体" w:hAnsi="宋体" w:hint="eastAsia"/>
          <w:sz w:val="24"/>
        </w:rPr>
        <w:t>盈利预测</w:t>
      </w:r>
    </w:p>
    <w:p w14:paraId="72C6EB83" w14:textId="68BC18B5" w:rsidR="001525A8" w:rsidRDefault="001525A8" w:rsidP="00EF3A61">
      <w:pPr>
        <w:spacing w:line="360" w:lineRule="auto"/>
        <w:rPr>
          <w:rFonts w:ascii="宋体" w:eastAsia="宋体" w:hAnsi="宋体"/>
          <w:sz w:val="24"/>
        </w:rPr>
      </w:pPr>
      <w:r w:rsidRPr="001525A8">
        <w:rPr>
          <w:rFonts w:ascii="宋体" w:eastAsia="宋体" w:hAnsi="宋体" w:hint="eastAsia"/>
          <w:sz w:val="24"/>
        </w:rPr>
        <w:t>项目前期(1-6个月)主要是市场培育和品牌推广阶段，预计处于亏损状态。随着品牌知名度的提升和用户数量的增长，在第7-12个月有望实现收支平衡。从第二年开始，预计实现盈利，随着线下体验店的逐步扩张和线上业务的增长，年净利润增长率预计达到30%-50%。</w:t>
      </w:r>
    </w:p>
    <w:p w14:paraId="5CAD51CD" w14:textId="77777777" w:rsidR="00067B6C" w:rsidRPr="00067B6C" w:rsidRDefault="00067B6C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067B6C">
        <w:rPr>
          <w:rFonts w:ascii="宋体" w:eastAsia="宋体" w:hAnsi="宋体" w:hint="eastAsia"/>
          <w:sz w:val="24"/>
        </w:rPr>
        <w:t>九、风险评估与应对措施</w:t>
      </w:r>
    </w:p>
    <w:p w14:paraId="0027FAD2" w14:textId="77777777" w:rsidR="00067B6C" w:rsidRPr="00067B6C" w:rsidRDefault="00067B6C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067B6C">
        <w:rPr>
          <w:rFonts w:ascii="宋体" w:eastAsia="宋体" w:hAnsi="宋体" w:hint="eastAsia"/>
          <w:sz w:val="24"/>
        </w:rPr>
        <w:t>1.市场风险:市场需求变化、竞争加剧可能导致项目市场份额下降。应对措施:加强市场调研，及时了解消费者需求和市场动态，调整产品和服务策略;持续创新，不断推出新的美食产品和特色活动，提高品牌竞争力。</w:t>
      </w:r>
    </w:p>
    <w:p w14:paraId="18CDF97F" w14:textId="77777777" w:rsidR="00067B6C" w:rsidRPr="00067B6C" w:rsidRDefault="00067B6C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067B6C">
        <w:rPr>
          <w:rFonts w:ascii="宋体" w:eastAsia="宋体" w:hAnsi="宋体" w:hint="eastAsia"/>
          <w:sz w:val="24"/>
        </w:rPr>
        <w:t>2.食品安全风险:全球美食供应链复杂，存在</w:t>
      </w:r>
    </w:p>
    <w:p w14:paraId="30E94140" w14:textId="77777777" w:rsidR="00067B6C" w:rsidRPr="00067B6C" w:rsidRDefault="00067B6C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067B6C">
        <w:rPr>
          <w:rFonts w:ascii="宋体" w:eastAsia="宋体" w:hAnsi="宋体" w:hint="eastAsia"/>
          <w:sz w:val="24"/>
        </w:rPr>
        <w:t>食品安全隐患。应对措施:建立严格的供应商审核制度，对食材的来源、质量进行严格把关;加强食品加工、储存、运输等环节的管理，确保食品安全;购买食品安全责任险，降低风险损失。</w:t>
      </w:r>
    </w:p>
    <w:p w14:paraId="2BB4C90C" w14:textId="7F78FA5C" w:rsidR="00067B6C" w:rsidRDefault="00067B6C" w:rsidP="00EF3A61">
      <w:pPr>
        <w:spacing w:line="360" w:lineRule="auto"/>
        <w:rPr>
          <w:rFonts w:ascii="宋体" w:eastAsia="宋体" w:hAnsi="宋体"/>
          <w:sz w:val="24"/>
        </w:rPr>
      </w:pPr>
      <w:r w:rsidRPr="00067B6C">
        <w:rPr>
          <w:rFonts w:ascii="宋体" w:eastAsia="宋体" w:hAnsi="宋体" w:hint="eastAsia"/>
          <w:sz w:val="24"/>
        </w:rPr>
        <w:t>3.运营管理风险:线上线下一体化运营对管理能力要求较高，可能出现运营效率低下、服务质量不稳定等问题。应对措施:建立科学的管理制度和流程，加强人员培训，提高团队的专业素质和协作能力;引入先进的管理系统，实现运营数据的实时监控和分析，及时发现和解决问题。</w:t>
      </w:r>
    </w:p>
    <w:p w14:paraId="610E108E" w14:textId="77777777" w:rsidR="00067B6C" w:rsidRPr="00067B6C" w:rsidRDefault="00067B6C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067B6C">
        <w:rPr>
          <w:rFonts w:ascii="宋体" w:eastAsia="宋体" w:hAnsi="宋体" w:hint="eastAsia"/>
          <w:sz w:val="24"/>
        </w:rPr>
        <w:t>4.文化差异风险:在与国际商家合作和开展国际业务过程中，可能面临文化差异带来的沟通障碍、合作困难等问题。应对措施:加强跨文化培训，提高团队成员对不同文化的理解和适应能力;建立本地化运营团队，深入了解当地文化和市场需求，制定本土化的运营策略。</w:t>
      </w:r>
    </w:p>
    <w:p w14:paraId="5B88EC2F" w14:textId="739E0C52" w:rsidR="00067B6C" w:rsidRPr="00811C45" w:rsidRDefault="00067B6C" w:rsidP="00EF3A61">
      <w:pPr>
        <w:spacing w:line="360" w:lineRule="auto"/>
        <w:rPr>
          <w:rFonts w:ascii="宋体" w:eastAsia="宋体" w:hAnsi="宋体" w:hint="eastAsia"/>
          <w:sz w:val="24"/>
        </w:rPr>
      </w:pPr>
      <w:r w:rsidRPr="00067B6C">
        <w:rPr>
          <w:rFonts w:ascii="宋体" w:eastAsia="宋体" w:hAnsi="宋体" w:hint="eastAsia"/>
          <w:sz w:val="24"/>
        </w:rPr>
        <w:t>5.技术风险:线上平台可能面临技术故障、数据泄露、网络攻击等问题。应对措施:加强技术团队建设，提高技术研发和维护能力;建立完善的数据安全管理制度和应急预案，定期进行系统安全检测和漏洞修复，保障平台的稳定运行和用户数据安全。</w:t>
      </w:r>
    </w:p>
    <w:sectPr w:rsidR="00067B6C" w:rsidRPr="00811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476EE"/>
    <w:multiLevelType w:val="hybridMultilevel"/>
    <w:tmpl w:val="D7963EA6"/>
    <w:lvl w:ilvl="0" w:tplc="72E4025C">
      <w:start w:val="1"/>
      <w:numFmt w:val="japaneseCounting"/>
      <w:lvlText w:val="（%1）"/>
      <w:lvlJc w:val="left"/>
      <w:pPr>
        <w:ind w:left="1128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2" w:hanging="440"/>
      </w:pPr>
    </w:lvl>
    <w:lvl w:ilvl="2" w:tplc="0409001B" w:tentative="1">
      <w:start w:val="1"/>
      <w:numFmt w:val="lowerRoman"/>
      <w:lvlText w:val="%3."/>
      <w:lvlJc w:val="right"/>
      <w:pPr>
        <w:ind w:left="1692" w:hanging="440"/>
      </w:pPr>
    </w:lvl>
    <w:lvl w:ilvl="3" w:tplc="0409000F" w:tentative="1">
      <w:start w:val="1"/>
      <w:numFmt w:val="decimal"/>
      <w:lvlText w:val="%4."/>
      <w:lvlJc w:val="left"/>
      <w:pPr>
        <w:ind w:left="2132" w:hanging="440"/>
      </w:pPr>
    </w:lvl>
    <w:lvl w:ilvl="4" w:tplc="04090019" w:tentative="1">
      <w:start w:val="1"/>
      <w:numFmt w:val="lowerLetter"/>
      <w:lvlText w:val="%5)"/>
      <w:lvlJc w:val="left"/>
      <w:pPr>
        <w:ind w:left="2572" w:hanging="440"/>
      </w:pPr>
    </w:lvl>
    <w:lvl w:ilvl="5" w:tplc="0409001B" w:tentative="1">
      <w:start w:val="1"/>
      <w:numFmt w:val="lowerRoman"/>
      <w:lvlText w:val="%6."/>
      <w:lvlJc w:val="right"/>
      <w:pPr>
        <w:ind w:left="3012" w:hanging="440"/>
      </w:pPr>
    </w:lvl>
    <w:lvl w:ilvl="6" w:tplc="0409000F" w:tentative="1">
      <w:start w:val="1"/>
      <w:numFmt w:val="decimal"/>
      <w:lvlText w:val="%7."/>
      <w:lvlJc w:val="left"/>
      <w:pPr>
        <w:ind w:left="3452" w:hanging="440"/>
      </w:pPr>
    </w:lvl>
    <w:lvl w:ilvl="7" w:tplc="04090019" w:tentative="1">
      <w:start w:val="1"/>
      <w:numFmt w:val="lowerLetter"/>
      <w:lvlText w:val="%8)"/>
      <w:lvlJc w:val="left"/>
      <w:pPr>
        <w:ind w:left="3892" w:hanging="440"/>
      </w:pPr>
    </w:lvl>
    <w:lvl w:ilvl="8" w:tplc="0409001B" w:tentative="1">
      <w:start w:val="1"/>
      <w:numFmt w:val="lowerRoman"/>
      <w:lvlText w:val="%9."/>
      <w:lvlJc w:val="right"/>
      <w:pPr>
        <w:ind w:left="4332" w:hanging="440"/>
      </w:pPr>
    </w:lvl>
  </w:abstractNum>
  <w:abstractNum w:abstractNumId="1" w15:restartNumberingAfterBreak="0">
    <w:nsid w:val="2E7A2D58"/>
    <w:multiLevelType w:val="hybridMultilevel"/>
    <w:tmpl w:val="19D0A086"/>
    <w:lvl w:ilvl="0" w:tplc="A328D446">
      <w:start w:val="1"/>
      <w:numFmt w:val="japaneseCounting"/>
      <w:lvlText w:val="%1．"/>
      <w:lvlJc w:val="left"/>
      <w:pPr>
        <w:ind w:left="97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32" w:hanging="440"/>
      </w:pPr>
    </w:lvl>
    <w:lvl w:ilvl="2" w:tplc="0409001B" w:tentative="1">
      <w:start w:val="1"/>
      <w:numFmt w:val="lowerRoman"/>
      <w:lvlText w:val="%3."/>
      <w:lvlJc w:val="right"/>
      <w:pPr>
        <w:ind w:left="1572" w:hanging="440"/>
      </w:pPr>
    </w:lvl>
    <w:lvl w:ilvl="3" w:tplc="0409000F" w:tentative="1">
      <w:start w:val="1"/>
      <w:numFmt w:val="decimal"/>
      <w:lvlText w:val="%4."/>
      <w:lvlJc w:val="left"/>
      <w:pPr>
        <w:ind w:left="2012" w:hanging="440"/>
      </w:pPr>
    </w:lvl>
    <w:lvl w:ilvl="4" w:tplc="04090019" w:tentative="1">
      <w:start w:val="1"/>
      <w:numFmt w:val="lowerLetter"/>
      <w:lvlText w:val="%5)"/>
      <w:lvlJc w:val="left"/>
      <w:pPr>
        <w:ind w:left="2452" w:hanging="440"/>
      </w:pPr>
    </w:lvl>
    <w:lvl w:ilvl="5" w:tplc="0409001B" w:tentative="1">
      <w:start w:val="1"/>
      <w:numFmt w:val="lowerRoman"/>
      <w:lvlText w:val="%6."/>
      <w:lvlJc w:val="right"/>
      <w:pPr>
        <w:ind w:left="2892" w:hanging="440"/>
      </w:pPr>
    </w:lvl>
    <w:lvl w:ilvl="6" w:tplc="0409000F" w:tentative="1">
      <w:start w:val="1"/>
      <w:numFmt w:val="decimal"/>
      <w:lvlText w:val="%7."/>
      <w:lvlJc w:val="left"/>
      <w:pPr>
        <w:ind w:left="3332" w:hanging="440"/>
      </w:pPr>
    </w:lvl>
    <w:lvl w:ilvl="7" w:tplc="04090019" w:tentative="1">
      <w:start w:val="1"/>
      <w:numFmt w:val="lowerLetter"/>
      <w:lvlText w:val="%8)"/>
      <w:lvlJc w:val="left"/>
      <w:pPr>
        <w:ind w:left="3772" w:hanging="440"/>
      </w:pPr>
    </w:lvl>
    <w:lvl w:ilvl="8" w:tplc="0409001B" w:tentative="1">
      <w:start w:val="1"/>
      <w:numFmt w:val="lowerRoman"/>
      <w:lvlText w:val="%9."/>
      <w:lvlJc w:val="right"/>
      <w:pPr>
        <w:ind w:left="4212" w:hanging="440"/>
      </w:pPr>
    </w:lvl>
  </w:abstractNum>
  <w:num w:numId="1" w16cid:durableId="1781795138">
    <w:abstractNumId w:val="1"/>
  </w:num>
  <w:num w:numId="2" w16cid:durableId="1081677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345"/>
    <w:rsid w:val="00067B6C"/>
    <w:rsid w:val="000A31E9"/>
    <w:rsid w:val="001525A8"/>
    <w:rsid w:val="0015532B"/>
    <w:rsid w:val="001F6697"/>
    <w:rsid w:val="00332DF1"/>
    <w:rsid w:val="00433BDB"/>
    <w:rsid w:val="00675262"/>
    <w:rsid w:val="006952A5"/>
    <w:rsid w:val="00811C45"/>
    <w:rsid w:val="0087345D"/>
    <w:rsid w:val="009E6345"/>
    <w:rsid w:val="00A54556"/>
    <w:rsid w:val="00A92808"/>
    <w:rsid w:val="00BC1316"/>
    <w:rsid w:val="00C970A4"/>
    <w:rsid w:val="00EE299B"/>
    <w:rsid w:val="00EF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F1DAA"/>
  <w15:chartTrackingRefBased/>
  <w15:docId w15:val="{8EAAB58F-8FDD-4535-B56A-93606B69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E634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6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634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634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634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6345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634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634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634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634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E63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E63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E634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E634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E634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E634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E634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E634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E63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E6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634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E63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6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E63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634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E634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63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E634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E63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11483-92D2-410C-AF25-50B78D05C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1689</Words>
  <Characters>2061</Characters>
  <Application>Microsoft Office Word</Application>
  <DocSecurity>0</DocSecurity>
  <Lines>85</Lines>
  <Paragraphs>76</Paragraphs>
  <ScaleCrop>false</ScaleCrop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怡诺 闫</dc:creator>
  <cp:keywords/>
  <dc:description/>
  <cp:lastModifiedBy>怡诺 闫</cp:lastModifiedBy>
  <cp:revision>1</cp:revision>
  <dcterms:created xsi:type="dcterms:W3CDTF">2025-06-06T02:07:00Z</dcterms:created>
  <dcterms:modified xsi:type="dcterms:W3CDTF">2025-06-06T03:14:00Z</dcterms:modified>
</cp:coreProperties>
</file>