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97B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“黑天鹅“和“灰犀牛”事件的来龙去脉及如何防范“黑天鹅“和“灰犀牛”事件发生</w:t>
      </w:r>
    </w:p>
    <w:p w14:paraId="07342710">
      <w:pPr>
        <w:keepNext w:val="0"/>
        <w:keepLines w:val="0"/>
        <w:widowControl/>
        <w:suppressLineNumbers w:val="0"/>
        <w:jc w:val="left"/>
        <w:rPr>
          <w:rFonts w:ascii="仿宋_GB2312" w:hAnsi="宋体" w:eastAsia="仿宋_GB2312" w:cs="仿宋_GB2312"/>
          <w:kern w:val="0"/>
          <w:sz w:val="24"/>
          <w:szCs w:val="24"/>
          <w:bdr w:val="none" w:color="auto" w:sz="0" w:space="0"/>
          <w:lang w:val="en-US" w:eastAsia="zh-CN" w:bidi="ar"/>
        </w:rPr>
      </w:pPr>
    </w:p>
    <w:p w14:paraId="4C1A772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bdr w:val="none" w:color="auto" w:sz="0" w:space="0"/>
          <w:lang w:val="en-US" w:eastAsia="zh-CN" w:bidi="ar"/>
        </w:rPr>
      </w:pPr>
      <w:r>
        <w:rPr>
          <w:rFonts w:hint="eastAsia" w:ascii="宋体" w:hAnsi="宋体" w:eastAsia="宋体" w:cs="宋体"/>
          <w:color w:val="auto"/>
          <w:kern w:val="0"/>
          <w:sz w:val="24"/>
          <w:szCs w:val="24"/>
          <w:bdr w:val="none" w:color="auto" w:sz="0" w:space="0"/>
          <w:lang w:val="en-US" w:eastAsia="zh-CN" w:bidi="ar"/>
        </w:rPr>
        <w:t>习近平在省部级主要领导干部坚持底线思维着力防范化解重大风险专题研讨班上发表重要讲话时说，面对波谲云诡的国际形势、复杂敏感的周边环境、艰巨繁重的改革发展稳定任务，我们必须始终保持高度警惕，既要高度警惕“黑天鹅”事件，也要防范“灰犀牛”事件。</w:t>
      </w:r>
    </w:p>
    <w:p w14:paraId="2F694F7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color w:val="auto"/>
          <w:kern w:val="0"/>
          <w:sz w:val="24"/>
          <w:szCs w:val="24"/>
          <w:bdr w:val="none" w:color="auto" w:sz="0" w:space="0"/>
          <w:lang w:val="en-US" w:eastAsia="zh-CN" w:bidi="ar"/>
        </w:rPr>
      </w:pPr>
      <w:r>
        <w:rPr>
          <w:rStyle w:val="6"/>
          <w:rFonts w:hint="eastAsia" w:ascii="宋体" w:hAnsi="宋体" w:eastAsia="宋体" w:cs="宋体"/>
          <w:color w:val="auto"/>
          <w:kern w:val="0"/>
          <w:sz w:val="24"/>
          <w:szCs w:val="24"/>
          <w:bdr w:val="none" w:color="auto" w:sz="0" w:space="0"/>
          <w:lang w:val="en-US" w:eastAsia="zh-CN" w:bidi="ar"/>
        </w:rPr>
        <w:t>名词解释</w:t>
      </w:r>
    </w:p>
    <w:p w14:paraId="5BBCA132">
      <w:pPr>
        <w:keepNext w:val="0"/>
        <w:keepLines w:val="0"/>
        <w:pageBreakBefore w:val="0"/>
        <w:widowControl/>
        <w:numPr>
          <w:numId w:val="0"/>
        </w:numPr>
        <w:suppressLineNumbers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color w:val="auto"/>
          <w:kern w:val="0"/>
          <w:sz w:val="24"/>
          <w:szCs w:val="24"/>
          <w:bdr w:val="none" w:color="auto" w:sz="0" w:space="0"/>
          <w:lang w:val="en-US" w:eastAsia="zh-CN" w:bidi="ar"/>
        </w:rPr>
      </w:pPr>
      <w:r>
        <w:rPr>
          <w:rStyle w:val="6"/>
          <w:rFonts w:hint="eastAsia" w:ascii="宋体" w:hAnsi="宋体" w:eastAsia="宋体" w:cs="宋体"/>
          <w:color w:val="auto"/>
          <w:kern w:val="0"/>
          <w:sz w:val="24"/>
          <w:szCs w:val="24"/>
          <w:bdr w:val="none" w:color="auto" w:sz="0" w:space="0"/>
          <w:lang w:val="en-US" w:eastAsia="zh-CN" w:bidi="ar"/>
        </w:rPr>
        <w:t>（一）“黑天鹅”事件概念：</w:t>
      </w:r>
      <w:r>
        <w:rPr>
          <w:rFonts w:hint="eastAsia" w:ascii="宋体" w:hAnsi="宋体" w:eastAsia="宋体" w:cs="宋体"/>
          <w:color w:val="auto"/>
          <w:kern w:val="0"/>
          <w:sz w:val="24"/>
          <w:szCs w:val="24"/>
          <w:bdr w:val="none" w:color="auto" w:sz="0" w:space="0"/>
          <w:lang w:val="en-US" w:eastAsia="zh-CN" w:bidi="ar"/>
        </w:rPr>
        <w:t>“黑天鹅”一般是指难以预测，但突然发生时会引起连锁反应、带来巨大负面影响的小概率事件。它存在于自然、经济、政治等各个领域，具有发生概率很小、高度不可预测性、一旦发生会带来严重后果等特征。“黑天鹅”事件虽然属于偶然事件，但如果处理不好就会导致系统性风险，产生严重后果。</w:t>
      </w:r>
      <w:r>
        <w:rPr>
          <w:rStyle w:val="6"/>
          <w:rFonts w:hint="eastAsia" w:ascii="宋体" w:hAnsi="宋体" w:eastAsia="宋体" w:cs="宋体"/>
          <w:color w:val="auto"/>
          <w:kern w:val="0"/>
          <w:sz w:val="24"/>
          <w:szCs w:val="24"/>
          <w:bdr w:val="none" w:color="auto" w:sz="0" w:space="0"/>
          <w:lang w:val="en-US" w:eastAsia="zh-CN" w:bidi="ar"/>
        </w:rPr>
        <w:t>来源：</w:t>
      </w:r>
      <w:r>
        <w:rPr>
          <w:rFonts w:hint="eastAsia" w:ascii="宋体" w:hAnsi="宋体" w:eastAsia="宋体" w:cs="宋体"/>
          <w:color w:val="auto"/>
          <w:kern w:val="0"/>
          <w:sz w:val="24"/>
          <w:szCs w:val="24"/>
          <w:bdr w:val="none" w:color="auto" w:sz="0" w:space="0"/>
          <w:lang w:val="en-US" w:eastAsia="zh-CN" w:bidi="ar"/>
        </w:rPr>
        <w:t>欧洲人在发现澳洲之前，一直都认为天鹅全都是白色的。然而，在到了澳洲之后，他们竟然发现了黑色羽毛的天鹅，就是这一只黑天鹅，让欧洲人上千年结论彻底被推翻：原来天鹅不仅有白色的，还有黑色的！后来，美国著名投资人塔勒布便将“黑天鹅”事件特指极其罕见，无法预测，但是一旦发生影响足以颠覆以往任何经验的重大事件。</w:t>
      </w:r>
      <w:r>
        <w:rPr>
          <w:rStyle w:val="6"/>
          <w:rFonts w:hint="eastAsia" w:ascii="宋体" w:hAnsi="宋体" w:eastAsia="宋体" w:cs="宋体"/>
          <w:color w:val="auto"/>
          <w:kern w:val="0"/>
          <w:sz w:val="24"/>
          <w:szCs w:val="24"/>
          <w:bdr w:val="none" w:color="auto" w:sz="0" w:space="0"/>
          <w:lang w:val="en-US" w:eastAsia="zh-CN" w:bidi="ar"/>
        </w:rPr>
        <w:t>例子：</w:t>
      </w:r>
      <w:r>
        <w:rPr>
          <w:rFonts w:hint="eastAsia" w:ascii="宋体" w:hAnsi="宋体" w:eastAsia="宋体" w:cs="宋体"/>
          <w:color w:val="auto"/>
          <w:kern w:val="0"/>
          <w:sz w:val="24"/>
          <w:szCs w:val="24"/>
          <w:bdr w:val="none" w:color="auto" w:sz="0" w:space="0"/>
          <w:lang w:val="en-US" w:eastAsia="zh-CN" w:bidi="ar"/>
        </w:rPr>
        <w:t>1997年的亚洲金融危机即为“黑天鹅”事件。泰国政府宣布泰铢与美元脱钩后，当天泰铢就贬值近20%。随后，超出意料的引发马币林吉特、新加坡元、菲律宾比索、印尼盾等下挫。这场金融危机使大部分东亚货币贬值、国际股市暴跌、多国社会秩序陷入混乱、甚至政权更迭。</w:t>
      </w:r>
    </w:p>
    <w:p w14:paraId="742CA963">
      <w:pPr>
        <w:keepNext w:val="0"/>
        <w:keepLines w:val="0"/>
        <w:pageBreakBefore w:val="0"/>
        <w:widowControl/>
        <w:numPr>
          <w:numId w:val="0"/>
        </w:numPr>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bdr w:val="none" w:color="auto" w:sz="0" w:space="0"/>
          <w:lang w:val="en-US" w:eastAsia="zh-CN" w:bidi="ar"/>
        </w:rPr>
      </w:pPr>
      <w:r>
        <w:rPr>
          <w:rFonts w:hint="eastAsia" w:ascii="宋体" w:hAnsi="宋体" w:eastAsia="宋体" w:cs="宋体"/>
          <w:color w:val="auto"/>
          <w:kern w:val="0"/>
          <w:sz w:val="24"/>
          <w:szCs w:val="24"/>
          <w:bdr w:val="none" w:color="auto" w:sz="0" w:space="0"/>
          <w:lang w:val="en-US" w:eastAsia="zh-CN" w:bidi="ar"/>
        </w:rPr>
        <w:t>（二）</w:t>
      </w:r>
      <w:r>
        <w:rPr>
          <w:rStyle w:val="6"/>
          <w:rFonts w:hint="eastAsia" w:ascii="宋体" w:hAnsi="宋体" w:eastAsia="宋体" w:cs="宋体"/>
          <w:color w:val="auto"/>
          <w:kern w:val="0"/>
          <w:sz w:val="24"/>
          <w:szCs w:val="24"/>
          <w:bdr w:val="none" w:color="auto" w:sz="0" w:space="0"/>
          <w:lang w:val="en-US" w:eastAsia="zh-CN" w:bidi="ar"/>
        </w:rPr>
        <w:t>“灰犀牛”事件概念：</w:t>
      </w:r>
      <w:r>
        <w:rPr>
          <w:rFonts w:hint="eastAsia" w:ascii="宋体" w:hAnsi="宋体" w:eastAsia="宋体" w:cs="宋体"/>
          <w:color w:val="auto"/>
          <w:kern w:val="0"/>
          <w:sz w:val="24"/>
          <w:szCs w:val="24"/>
          <w:bdr w:val="none" w:color="auto" w:sz="0" w:space="0"/>
          <w:lang w:val="en-US" w:eastAsia="zh-CN" w:bidi="ar"/>
        </w:rPr>
        <w:t>“灰犀牛”是指明显的、高概率的却又屡屡被人忽视、最终有可能酿成大危机的事件。此类事件在社会各个领域都会出现，发酵之前往往不被重视，或者被当作一种正常的现象来认可或接受，以致错失了最好的处理或控制风险的时机，最后可能导致极其严重的后果。</w:t>
      </w:r>
      <w:r>
        <w:rPr>
          <w:rFonts w:ascii="宋体" w:hAnsi="宋体" w:eastAsia="宋体" w:cs="宋体"/>
          <w:kern w:val="0"/>
          <w:sz w:val="24"/>
          <w:szCs w:val="24"/>
          <w:bdr w:val="none" w:color="auto" w:sz="0" w:space="0"/>
          <w:lang w:val="en-US" w:eastAsia="zh-CN" w:bidi="ar"/>
        </w:rPr>
        <w:drawing>
          <wp:inline distT="0" distB="0" distL="114300" distR="114300">
            <wp:extent cx="5268595" cy="3055620"/>
            <wp:effectExtent l="0" t="0" r="8255" b="1143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8595" cy="3055620"/>
                    </a:xfrm>
                    <a:prstGeom prst="rect">
                      <a:avLst/>
                    </a:prstGeom>
                    <a:noFill/>
                    <a:ln w="9525">
                      <a:noFill/>
                    </a:ln>
                  </pic:spPr>
                </pic:pic>
              </a:graphicData>
            </a:graphic>
          </wp:inline>
        </w:drawing>
      </w:r>
      <w:r>
        <w:rPr>
          <w:rFonts w:hint="eastAsia" w:ascii="宋体" w:hAnsi="宋体" w:eastAsia="宋体" w:cs="宋体"/>
          <w:kern w:val="0"/>
          <w:sz w:val="24"/>
          <w:szCs w:val="24"/>
          <w:bdr w:val="none" w:color="auto" w:sz="0" w:space="0"/>
          <w:lang w:val="en-US" w:eastAsia="zh-CN" w:bidi="ar"/>
        </w:rPr>
        <w:t xml:space="preserve">    </w:t>
      </w:r>
      <w:r>
        <w:rPr>
          <w:rStyle w:val="6"/>
          <w:rFonts w:hint="eastAsia" w:asciiTheme="minorEastAsia" w:hAnsiTheme="minorEastAsia" w:eastAsiaTheme="minorEastAsia" w:cstheme="minorEastAsia"/>
          <w:color w:val="auto"/>
          <w:kern w:val="0"/>
          <w:sz w:val="24"/>
          <w:szCs w:val="24"/>
          <w:bdr w:val="none" w:color="auto" w:sz="0" w:space="0"/>
          <w:lang w:val="en-US" w:eastAsia="zh-CN" w:bidi="ar"/>
        </w:rPr>
        <w:t>来源：</w:t>
      </w:r>
      <w:r>
        <w:rPr>
          <w:rFonts w:hint="eastAsia" w:asciiTheme="minorEastAsia" w:hAnsiTheme="minorEastAsia" w:eastAsiaTheme="minorEastAsia" w:cstheme="minorEastAsia"/>
          <w:color w:val="auto"/>
          <w:kern w:val="0"/>
          <w:sz w:val="24"/>
          <w:szCs w:val="24"/>
          <w:bdr w:val="none" w:color="auto" w:sz="0" w:space="0"/>
          <w:lang w:val="en-US" w:eastAsia="zh-CN" w:bidi="ar"/>
        </w:rPr>
        <w:t>灰犀牛是非洲大陆上的巨无霸，体重达2-5吨，它平时性情温和，只要不侵犯到它的领域或者挑衅它，基本不会对人或者其他动物造成威胁。当你在非洲大草原旅行时，碰见灰犀牛，你一步步向前，直到足够近，并为其拍一张角度好的照片时，发现犀牛向你冲过来，此时你所面临的危险就称作“灰犀牛”。</w:t>
      </w:r>
      <w:r>
        <w:rPr>
          <w:rFonts w:hint="eastAsia" w:asciiTheme="minorEastAsia" w:hAnsiTheme="minorEastAsia" w:eastAsiaTheme="minorEastAsia" w:cstheme="minorEastAsia"/>
          <w:color w:val="auto"/>
          <w:kern w:val="0"/>
          <w:sz w:val="24"/>
          <w:szCs w:val="24"/>
          <w:bdr w:val="none" w:color="auto" w:sz="0" w:space="0"/>
          <w:lang w:val="en-US" w:eastAsia="zh-CN" w:bidi="ar"/>
        </w:rPr>
        <w:br w:type="textWrapping"/>
      </w:r>
      <w:r>
        <w:rPr>
          <w:rStyle w:val="6"/>
          <w:rFonts w:hint="eastAsia" w:asciiTheme="minorEastAsia" w:hAnsiTheme="minorEastAsia" w:eastAsiaTheme="minorEastAsia" w:cstheme="minorEastAsia"/>
          <w:color w:val="auto"/>
          <w:kern w:val="0"/>
          <w:sz w:val="24"/>
          <w:szCs w:val="24"/>
          <w:bdr w:val="none" w:color="auto" w:sz="0" w:space="0"/>
          <w:lang w:val="en-US" w:eastAsia="zh-CN" w:bidi="ar"/>
        </w:rPr>
        <w:t>例子：</w:t>
      </w:r>
      <w:r>
        <w:rPr>
          <w:rFonts w:hint="eastAsia" w:asciiTheme="minorEastAsia" w:hAnsiTheme="minorEastAsia" w:eastAsiaTheme="minorEastAsia" w:cstheme="minorEastAsia"/>
          <w:color w:val="auto"/>
          <w:kern w:val="0"/>
          <w:sz w:val="24"/>
          <w:szCs w:val="24"/>
          <w:bdr w:val="none" w:color="auto" w:sz="0" w:space="0"/>
          <w:lang w:val="en-US" w:eastAsia="zh-CN" w:bidi="ar"/>
        </w:rPr>
        <w:t>美国次贷危机就是典型的“灰犀牛”事件。当时大家知道“次债”有风险，却并未足够重视。因为投资回报高，“次债”相当一段时期内受到投资者的追捧，表现稳定。2007年房价开始回落，“次债”市场风险爆发，风险被迅速传导到其它市场，最终酿成了史无前例的全球性金融危机。</w:t>
      </w:r>
    </w:p>
    <w:p w14:paraId="5A296ACC">
      <w:pPr>
        <w:keepNext w:val="0"/>
        <w:keepLines w:val="0"/>
        <w:pageBreakBefore w:val="0"/>
        <w:widowControl/>
        <w:numPr>
          <w:numId w:val="0"/>
        </w:numPr>
        <w:suppressLineNumbers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二、如何防范“黑天鹅”和“灰犀牛”事件</w:t>
      </w:r>
    </w:p>
    <w:p w14:paraId="0C4BFB96">
      <w:pPr>
        <w:keepNext w:val="0"/>
        <w:keepLines w:val="0"/>
        <w:pageBreakBefore w:val="0"/>
        <w:widowControl/>
        <w:numPr>
          <w:numId w:val="0"/>
        </w:numPr>
        <w:suppressLineNumbers w:val="0"/>
        <w:kinsoku/>
        <w:wordWrap/>
        <w:overflowPunct/>
        <w:topLinePunct w:val="0"/>
        <w:autoSpaceDE/>
        <w:autoSpaceDN/>
        <w:bidi w:val="0"/>
        <w:adjustRightInd w:val="0"/>
        <w:snapToGrid w:val="0"/>
        <w:spacing w:line="360" w:lineRule="auto"/>
        <w:ind w:firstLine="480" w:firstLineChars="200"/>
        <w:jc w:val="center"/>
        <w:textAlignment w:val="auto"/>
        <w:rPr>
          <w:rFonts w:ascii="宋体" w:hAnsi="宋体" w:eastAsia="宋体" w:cs="宋体"/>
          <w:kern w:val="0"/>
          <w:sz w:val="24"/>
          <w:szCs w:val="24"/>
          <w:bdr w:val="none" w:color="auto" w:sz="0" w:space="0"/>
          <w:lang w:val="en-US" w:eastAsia="zh-CN" w:bidi="ar"/>
        </w:rPr>
      </w:pPr>
      <w:r>
        <w:rPr>
          <w:rFonts w:hint="eastAsia" w:asciiTheme="minorEastAsia" w:hAnsiTheme="minorEastAsia" w:eastAsiaTheme="minorEastAsia" w:cstheme="minorEastAsia"/>
          <w:color w:val="auto"/>
          <w:kern w:val="0"/>
          <w:sz w:val="24"/>
          <w:szCs w:val="24"/>
          <w:lang w:val="en-US" w:eastAsia="zh-CN" w:bidi="ar"/>
        </w:rPr>
        <w:t>发生近些年来，从互联网泡沫破灭到波及全球的金融危机，从埃博拉病毒暴发到新冠肺炎疫情在世界蔓延，人类社会发展面临的各种风险显著增加。其中，既有小概率高风险的“黑天鹅”，也有大概率高风险的“灰犀牛”。习近平总书记指出，“我们必须始终保持高度警惕，既要高度警惕‘黑天鹅’事件，也要防范‘灰犀牛’事件”，“用大概率思维应对小概率事件，牢牢守住不发生系统性风险的底线”。这一重要论述充分体</w:t>
      </w:r>
      <w:r>
        <w:rPr>
          <w:rFonts w:hint="eastAsia" w:asciiTheme="minorEastAsia" w:hAnsiTheme="minorEastAsia" w:eastAsiaTheme="minorEastAsia" w:cstheme="minorEastAsia"/>
          <w:color w:val="auto"/>
          <w:kern w:val="0"/>
          <w:sz w:val="24"/>
          <w:szCs w:val="24"/>
          <w:bdr w:val="none" w:color="auto" w:sz="0" w:space="0"/>
          <w:lang w:val="en-US" w:eastAsia="zh-CN" w:bidi="ar"/>
        </w:rPr>
        <w:t>现了新时代中国共产党人居安思危的忧患意识和防范风险挑战的战略自觉。</w:t>
      </w:r>
      <w:r>
        <w:rPr>
          <w:rFonts w:ascii="宋体" w:hAnsi="宋体" w:eastAsia="宋体" w:cs="宋体"/>
          <w:kern w:val="0"/>
          <w:sz w:val="24"/>
          <w:szCs w:val="24"/>
          <w:bdr w:val="none" w:color="auto" w:sz="0" w:space="0"/>
          <w:lang w:val="en-US" w:eastAsia="zh-CN" w:bidi="ar"/>
        </w:rPr>
        <w:drawing>
          <wp:inline distT="0" distB="0" distL="114300" distR="114300">
            <wp:extent cx="3562350" cy="284797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3562350" cy="2847975"/>
                    </a:xfrm>
                    <a:prstGeom prst="rect">
                      <a:avLst/>
                    </a:prstGeom>
                    <a:noFill/>
                    <a:ln w="9525">
                      <a:noFill/>
                    </a:ln>
                  </pic:spPr>
                </pic:pic>
              </a:graphicData>
            </a:graphic>
          </wp:inline>
        </w:drawing>
      </w:r>
    </w:p>
    <w:p w14:paraId="23018DEC">
      <w:pPr>
        <w:keepNext w:val="0"/>
        <w:keepLines w:val="0"/>
        <w:pageBreakBefore w:val="0"/>
        <w:widowControl/>
        <w:numPr>
          <w:numId w:val="0"/>
        </w:numPr>
        <w:suppressLineNumbers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color w:val="auto"/>
          <w:sz w:val="24"/>
          <w:szCs w:val="24"/>
        </w:rPr>
      </w:pPr>
      <w:r>
        <w:rPr>
          <w:rStyle w:val="6"/>
          <w:rFonts w:hint="eastAsia" w:asciiTheme="minorEastAsia" w:hAnsiTheme="minorEastAsia" w:eastAsiaTheme="minorEastAsia" w:cstheme="minorEastAsia"/>
          <w:color w:val="auto"/>
          <w:kern w:val="0"/>
          <w:sz w:val="24"/>
          <w:szCs w:val="24"/>
          <w:bdr w:val="none" w:color="auto" w:sz="0" w:space="0"/>
          <w:lang w:val="en-US" w:eastAsia="zh-CN" w:bidi="ar"/>
        </w:rPr>
        <w:t>“于安思危，于治忧乱。”</w:t>
      </w:r>
      <w:r>
        <w:rPr>
          <w:rFonts w:hint="eastAsia" w:asciiTheme="minorEastAsia" w:hAnsiTheme="minorEastAsia" w:eastAsiaTheme="minorEastAsia" w:cstheme="minorEastAsia"/>
          <w:color w:val="auto"/>
          <w:kern w:val="0"/>
          <w:sz w:val="24"/>
          <w:szCs w:val="24"/>
          <w:bdr w:val="none" w:color="auto" w:sz="0" w:space="0"/>
          <w:lang w:val="en-US" w:eastAsia="zh-CN" w:bidi="ar"/>
        </w:rPr>
        <w:t>忧患意识是中华民族能够生生不息、绵延不绝的文化基因，也是融入中国共产党精神血脉的政治品质。我们党生于忧患、成长于忧患、壮大于忧患。百年来，我们党所经历的困难与风险世所罕见。其中有危难之际的绝处逢生，有挫折之后的毅然奋起，有失误之后的拨乱反正，有磨难面前的百折不挠，正是一代代中国共产党人心存忧患、肩扛重担，才团结带领中国人民不断从胜利走向新的胜利。1945年，毛泽东同志在党的七大上讲“准备吃亏”时一口气列了17条困难，强调在看到光明的同时，更要准备迎接困难，“要在最坏的可能性上建立我们的政策”。邓小平同志也指出：“我们要把工作的基点放在出现较大的风险上，准备好对策。这样，即使出现了大的风险，天也不会塌下来。”党的十八大以来，习近平总书记反复告诫全党要“安而不忘危，存而不忘亡，治而不忘乱”，必须准备付出更为艰巨、更为艰苦的努力，进行具有许多新的历史特点的伟大斗争。当前和今后一个时期，我国发展仍然处于重要战略机遇期。既要看到我国发展总体态势是好的，我们完全有基础、有条件、有能力取得新的伟大胜利，也要看到我国发展面临着前所未有的复杂环境，诸多矛盾问题叠加、风险挑战凸显。这些风险挑战是多方面的，有的来自国内，有的来自国际，有的来自经济社会领域，有的来自自然界。特别是要看到，各种威胁和挑战联动效应明显，各种矛盾风险挑战源、各类矛盾风险挑战点相互交织、相互作用，有时“黑天鹅”、“灰犀牛”还会联袂而至。如果我们防范不及、应对不力，就会导致各种风险传导、叠加、演变、升级，国家安全就可能面临重大威胁，实现中华民族伟大复兴的进程就可能迟滞或被迫中断。习近平总书记强调：“前进的道路不可能一帆风顺，越是前景光明，越是要增强忧患意识，做到居安思危，全面认识和有力应对一些重大风险挑战。”必须把防风险摆在突出位置，着力破解各种矛盾和问题，力争不出现重大风险或在出现重大风险时扛得住、过得去。</w:t>
      </w:r>
    </w:p>
    <w:p w14:paraId="1D49E1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增强忧患意识，做到居安思危，是我们党治国理政的一个重大原则。在一个更加不稳定不确定的世界中谋求我国发展，必须坚持底线思维，从最坏处着眼，做最充分的准备，把困难估计得更充分一些，把解决问题的措施想得更周到一些，把各项工作做得更扎实一些，争取最好的结果。坚持系统观念，统筹发展和安全，增强机遇意识和风险意识，提高风险化解能力，注重堵漏洞、强弱项，下好先手棋、打好主动仗，善于在危机中育先机、于变局中开新局。建立健全风险研判、防控协同、防范化解机制，运用制度威力应对风险挑战冲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73735"/>
    <w:multiLevelType w:val="singleLevel"/>
    <w:tmpl w:val="886737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2E5D54"/>
    <w:rsid w:val="58C92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2025-10-23T02:23:04Z</dcterms:created>
  <dc:creator>xnn</dc:creator>
  <cp:lastModifiedBy>WPS_1603247356</cp:lastModifiedBy>
  <dcterms:modified xsi:type="dcterms:W3CDTF">2025-10-23T02:27:45Z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eyJoZGlkIjoiZDhjZjdkNjIyZmY4MGYyMGVjMzk4NWZmMjhlMTMwNTYiLCJ1c2VySWQiOiIxMTM0NjU1MzAwIn0=</vt:lpwstr>
  </property>
  <property fmtid="{D5CDD505-2E9C-101B-9397-08002B2CF9AE}" pid="4" name="ICV">
    <vt:lpwstr>FA832616793D428587CCA49BA46C121F_12</vt:lpwstr>
  </property>
</Properties>
</file>