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DA4CE6">
      <w:pPr>
        <w:spacing w:line="300" w:lineRule="auto"/>
        <w:rPr>
          <w:rFonts w:ascii="宋体" w:hAnsi="宋体" w:eastAsia="宋体"/>
          <w:b/>
          <w:color w:val="000000"/>
          <w:sz w:val="32"/>
          <w:szCs w:val="32"/>
        </w:rPr>
      </w:pPr>
      <w:r>
        <w:rPr>
          <w:rFonts w:hint="eastAsia" w:ascii="宋体" w:hAnsi="宋体" w:eastAsia="宋体"/>
          <w:b/>
          <w:color w:val="000000"/>
          <w:sz w:val="32"/>
          <w:szCs w:val="32"/>
        </w:rPr>
        <w:t>案例：彩云城投的融资扩张</w:t>
      </w:r>
    </w:p>
    <w:p w14:paraId="03DBC9DE">
      <w:pPr>
        <w:spacing w:line="300" w:lineRule="auto"/>
        <w:ind w:firstLine="480" w:firstLineChars="200"/>
        <w:rPr>
          <w:rFonts w:ascii="宋体" w:hAnsi="宋体" w:eastAsia="宋体"/>
          <w:color w:val="000000"/>
          <w:sz w:val="24"/>
          <w:szCs w:val="24"/>
          <w:shd w:val="clear" w:color="auto" w:fill="FFFFFF"/>
        </w:rPr>
      </w:pPr>
      <w:r>
        <w:rPr>
          <w:rFonts w:hint="eastAsia" w:ascii="宋体" w:hAnsi="宋体" w:eastAsia="宋体"/>
          <w:color w:val="000000"/>
          <w:sz w:val="24"/>
          <w:szCs w:val="24"/>
          <w:shd w:val="clear" w:color="auto" w:fill="FFFFFF"/>
        </w:rPr>
        <w:t>彩云集团于1992年成立,1998年更名为彩云股份有限公司，公司股本177,338,160.00元。2007年上市，公司名称为彩云城投置业股份有限公司。</w:t>
      </w:r>
    </w:p>
    <w:p w14:paraId="6453A634">
      <w:pPr>
        <w:pStyle w:val="7"/>
        <w:numPr>
          <w:ilvl w:val="0"/>
          <w:numId w:val="1"/>
        </w:numPr>
        <w:ind w:firstLineChars="0"/>
        <w:rPr>
          <w:rFonts w:ascii="宋体" w:hAnsi="宋体"/>
          <w:b/>
          <w:sz w:val="24"/>
          <w:szCs w:val="24"/>
        </w:rPr>
      </w:pPr>
      <w:r>
        <w:rPr>
          <w:rFonts w:hint="eastAsia" w:ascii="宋体" w:hAnsi="宋体"/>
          <w:b/>
          <w:sz w:val="24"/>
          <w:szCs w:val="24"/>
        </w:rPr>
        <w:t>彩云城投历年融资情况</w:t>
      </w:r>
    </w:p>
    <w:p w14:paraId="758BBC55">
      <w:pPr>
        <w:pStyle w:val="7"/>
        <w:numPr>
          <w:ilvl w:val="0"/>
          <w:numId w:val="2"/>
        </w:numPr>
        <w:ind w:firstLineChars="0"/>
        <w:rPr>
          <w:rFonts w:ascii="宋体" w:hAnsi="宋体"/>
          <w:b/>
          <w:sz w:val="24"/>
          <w:szCs w:val="24"/>
        </w:rPr>
      </w:pPr>
      <w:r>
        <w:rPr>
          <w:rFonts w:hint="eastAsia" w:ascii="宋体" w:hAnsi="宋体"/>
          <w:b/>
          <w:sz w:val="24"/>
          <w:szCs w:val="24"/>
        </w:rPr>
        <w:t>向银行抵押贷款</w:t>
      </w:r>
    </w:p>
    <w:p w14:paraId="4E4F55E4">
      <w:pPr>
        <w:spacing w:line="300" w:lineRule="auto"/>
        <w:ind w:firstLine="480" w:firstLineChars="200"/>
        <w:rPr>
          <w:rFonts w:ascii="宋体" w:hAnsi="宋体" w:eastAsia="宋体"/>
          <w:sz w:val="24"/>
          <w:szCs w:val="24"/>
        </w:rPr>
      </w:pPr>
      <w:r>
        <w:rPr>
          <w:rFonts w:hint="eastAsia" w:ascii="宋体" w:hAnsi="宋体" w:eastAsia="宋体"/>
          <w:sz w:val="24"/>
          <w:szCs w:val="24"/>
        </w:rPr>
        <w:t>2</w:t>
      </w:r>
      <w:r>
        <w:rPr>
          <w:rFonts w:ascii="宋体" w:hAnsi="宋体" w:eastAsia="宋体"/>
          <w:sz w:val="24"/>
          <w:szCs w:val="24"/>
        </w:rPr>
        <w:t>008</w:t>
      </w:r>
      <w:r>
        <w:rPr>
          <w:rFonts w:hint="eastAsia" w:ascii="宋体" w:hAnsi="宋体" w:eastAsia="宋体"/>
          <w:sz w:val="24"/>
          <w:szCs w:val="24"/>
        </w:rPr>
        <w:t>年短期借款8</w:t>
      </w:r>
      <w:r>
        <w:rPr>
          <w:rFonts w:ascii="宋体" w:hAnsi="宋体" w:eastAsia="宋体"/>
          <w:sz w:val="24"/>
          <w:szCs w:val="24"/>
        </w:rPr>
        <w:t>400</w:t>
      </w:r>
      <w:r>
        <w:rPr>
          <w:rFonts w:hint="eastAsia" w:ascii="宋体" w:hAnsi="宋体" w:eastAsia="宋体"/>
          <w:sz w:val="24"/>
          <w:szCs w:val="24"/>
        </w:rPr>
        <w:t>万元：以昆明市开发区</w:t>
      </w:r>
      <w:r>
        <w:rPr>
          <w:rFonts w:ascii="宋体" w:hAnsi="宋体" w:eastAsia="宋体"/>
          <w:sz w:val="24"/>
          <w:szCs w:val="24"/>
        </w:rPr>
        <w:t>的土地使用权为抵押物，向昆明农村合作银行取</w:t>
      </w:r>
      <w:r>
        <w:rPr>
          <w:rFonts w:hint="eastAsia" w:ascii="宋体" w:hAnsi="宋体" w:eastAsia="宋体"/>
          <w:sz w:val="24"/>
          <w:szCs w:val="24"/>
        </w:rPr>
        <w:t>得借款</w:t>
      </w:r>
      <w:r>
        <w:rPr>
          <w:rFonts w:ascii="宋体" w:hAnsi="宋体" w:eastAsia="宋体"/>
          <w:sz w:val="24"/>
          <w:szCs w:val="24"/>
        </w:rPr>
        <w:t>4300 万元。</w:t>
      </w:r>
      <w:r>
        <w:rPr>
          <w:rFonts w:hint="eastAsia" w:ascii="宋体" w:hAnsi="宋体" w:eastAsia="宋体"/>
          <w:sz w:val="24"/>
          <w:szCs w:val="24"/>
        </w:rPr>
        <w:t>以大理市土地使用权为抵押物，向中国银行云南省分行取得</w:t>
      </w:r>
      <w:r>
        <w:rPr>
          <w:rFonts w:ascii="宋体" w:hAnsi="宋体" w:eastAsia="宋体"/>
          <w:sz w:val="24"/>
          <w:szCs w:val="24"/>
        </w:rPr>
        <w:t>4100 万元开发贷款。</w:t>
      </w:r>
    </w:p>
    <w:p w14:paraId="7E8D2F52">
      <w:pPr>
        <w:spacing w:line="300" w:lineRule="auto"/>
        <w:ind w:firstLine="480" w:firstLineChars="200"/>
        <w:rPr>
          <w:rFonts w:ascii="宋体" w:hAnsi="宋体" w:eastAsia="宋体"/>
          <w:sz w:val="24"/>
          <w:szCs w:val="24"/>
        </w:rPr>
      </w:pPr>
      <w:r>
        <w:rPr>
          <w:rFonts w:ascii="宋体" w:hAnsi="宋体" w:eastAsia="宋体"/>
          <w:sz w:val="24"/>
          <w:szCs w:val="24"/>
        </w:rPr>
        <w:t>2008</w:t>
      </w:r>
      <w:r>
        <w:rPr>
          <w:rFonts w:hint="eastAsia" w:ascii="宋体" w:hAnsi="宋体" w:eastAsia="宋体"/>
          <w:sz w:val="24"/>
          <w:szCs w:val="24"/>
        </w:rPr>
        <w:t>年长期借款：以位于大渔土地使用权</w:t>
      </w:r>
      <w:r>
        <w:rPr>
          <w:rFonts w:ascii="宋体" w:hAnsi="宋体" w:eastAsia="宋体"/>
          <w:sz w:val="24"/>
          <w:szCs w:val="24"/>
        </w:rPr>
        <w:t>和位于昭宗</w:t>
      </w:r>
      <w:r>
        <w:rPr>
          <w:rFonts w:hint="eastAsia" w:ascii="宋体" w:hAnsi="宋体" w:eastAsia="宋体"/>
          <w:sz w:val="24"/>
          <w:szCs w:val="24"/>
        </w:rPr>
        <w:t>的</w:t>
      </w:r>
      <w:r>
        <w:rPr>
          <w:rFonts w:ascii="宋体" w:hAnsi="宋体" w:eastAsia="宋体"/>
          <w:sz w:val="24"/>
          <w:szCs w:val="24"/>
        </w:rPr>
        <w:t>土地</w:t>
      </w:r>
      <w:r>
        <w:rPr>
          <w:rFonts w:hint="eastAsia" w:ascii="宋体" w:hAnsi="宋体" w:eastAsia="宋体"/>
          <w:sz w:val="24"/>
          <w:szCs w:val="24"/>
        </w:rPr>
        <w:t>使用权</w:t>
      </w:r>
      <w:r>
        <w:rPr>
          <w:rFonts w:ascii="宋体" w:hAnsi="宋体" w:eastAsia="宋体"/>
          <w:sz w:val="24"/>
          <w:szCs w:val="24"/>
        </w:rPr>
        <w:t>为抵押物,向农业银行股份昆明</w:t>
      </w:r>
      <w:r>
        <w:rPr>
          <w:rFonts w:hint="eastAsia" w:ascii="宋体" w:hAnsi="宋体" w:eastAsia="宋体"/>
          <w:sz w:val="24"/>
          <w:szCs w:val="24"/>
        </w:rPr>
        <w:t>支行取得</w:t>
      </w:r>
      <w:r>
        <w:rPr>
          <w:rFonts w:ascii="宋体" w:hAnsi="宋体" w:eastAsia="宋体"/>
          <w:sz w:val="24"/>
          <w:szCs w:val="24"/>
        </w:rPr>
        <w:t>15,000.00 万元开发贷款。</w:t>
      </w:r>
    </w:p>
    <w:p w14:paraId="1197C4ED">
      <w:pPr>
        <w:pStyle w:val="7"/>
        <w:numPr>
          <w:ilvl w:val="0"/>
          <w:numId w:val="2"/>
        </w:numPr>
        <w:ind w:firstLineChars="0"/>
        <w:rPr>
          <w:rFonts w:ascii="宋体" w:hAnsi="宋体"/>
          <w:b/>
          <w:sz w:val="24"/>
          <w:szCs w:val="24"/>
        </w:rPr>
      </w:pPr>
      <w:r>
        <w:rPr>
          <w:rFonts w:hint="eastAsia" w:ascii="宋体" w:hAnsi="宋体"/>
          <w:b/>
          <w:sz w:val="24"/>
          <w:szCs w:val="24"/>
        </w:rPr>
        <w:t>定向增发普通股</w:t>
      </w:r>
    </w:p>
    <w:p w14:paraId="12B8F15B">
      <w:pPr>
        <w:spacing w:line="300" w:lineRule="auto"/>
        <w:ind w:firstLine="480" w:firstLineChars="200"/>
        <w:rPr>
          <w:rFonts w:ascii="宋体" w:hAnsi="宋体" w:eastAsia="宋体"/>
          <w:sz w:val="24"/>
          <w:szCs w:val="24"/>
        </w:rPr>
      </w:pPr>
      <w:r>
        <w:rPr>
          <w:rFonts w:hint="eastAsia" w:ascii="宋体" w:hAnsi="宋体" w:eastAsia="宋体"/>
          <w:sz w:val="24"/>
          <w:szCs w:val="24"/>
        </w:rPr>
        <w:t>2</w:t>
      </w:r>
      <w:r>
        <w:rPr>
          <w:rFonts w:ascii="宋体" w:hAnsi="宋体" w:eastAsia="宋体"/>
          <w:sz w:val="24"/>
          <w:szCs w:val="24"/>
        </w:rPr>
        <w:t>009</w:t>
      </w:r>
      <w:r>
        <w:rPr>
          <w:rFonts w:hint="eastAsia" w:ascii="宋体" w:hAnsi="宋体" w:eastAsia="宋体"/>
          <w:sz w:val="24"/>
          <w:szCs w:val="24"/>
        </w:rPr>
        <w:t>年公司以非公开发行股票的方式向华安基金等1</w:t>
      </w:r>
      <w:r>
        <w:rPr>
          <w:rFonts w:ascii="宋体" w:hAnsi="宋体" w:eastAsia="宋体"/>
          <w:sz w:val="24"/>
          <w:szCs w:val="24"/>
        </w:rPr>
        <w:t>0</w:t>
      </w:r>
      <w:r>
        <w:rPr>
          <w:rFonts w:hint="eastAsia" w:ascii="宋体" w:hAnsi="宋体" w:eastAsia="宋体"/>
          <w:sz w:val="24"/>
          <w:szCs w:val="24"/>
        </w:rPr>
        <w:t>名特定对象发行人民币普通股1</w:t>
      </w:r>
      <w:r>
        <w:rPr>
          <w:rFonts w:ascii="宋体" w:hAnsi="宋体" w:eastAsia="宋体"/>
          <w:sz w:val="24"/>
          <w:szCs w:val="24"/>
        </w:rPr>
        <w:t>31,750,000</w:t>
      </w:r>
      <w:r>
        <w:rPr>
          <w:rFonts w:hint="eastAsia" w:ascii="宋体" w:hAnsi="宋体" w:eastAsia="宋体"/>
          <w:sz w:val="24"/>
          <w:szCs w:val="24"/>
        </w:rPr>
        <w:t>股，每股面值1元，每股发行价1</w:t>
      </w:r>
      <w:r>
        <w:rPr>
          <w:rFonts w:ascii="宋体" w:hAnsi="宋体" w:eastAsia="宋体"/>
          <w:sz w:val="24"/>
          <w:szCs w:val="24"/>
        </w:rPr>
        <w:t>5.118</w:t>
      </w:r>
      <w:r>
        <w:rPr>
          <w:rFonts w:hint="eastAsia" w:ascii="宋体" w:hAnsi="宋体" w:eastAsia="宋体"/>
          <w:sz w:val="24"/>
          <w:szCs w:val="24"/>
        </w:rPr>
        <w:t>元，募集资金净额为人民币1</w:t>
      </w:r>
      <w:r>
        <w:rPr>
          <w:rFonts w:ascii="宋体" w:hAnsi="宋体" w:eastAsia="宋体"/>
          <w:sz w:val="24"/>
          <w:szCs w:val="24"/>
        </w:rPr>
        <w:t>,974,865,000</w:t>
      </w:r>
      <w:r>
        <w:rPr>
          <w:rFonts w:hint="eastAsia" w:ascii="宋体" w:hAnsi="宋体" w:eastAsia="宋体"/>
          <w:sz w:val="24"/>
          <w:szCs w:val="24"/>
        </w:rPr>
        <w:t>元。</w:t>
      </w:r>
    </w:p>
    <w:p w14:paraId="1C31A8D4">
      <w:pPr>
        <w:pStyle w:val="7"/>
        <w:numPr>
          <w:ilvl w:val="0"/>
          <w:numId w:val="2"/>
        </w:numPr>
        <w:ind w:firstLineChars="0"/>
        <w:rPr>
          <w:rFonts w:ascii="宋体" w:hAnsi="宋体"/>
          <w:b/>
          <w:sz w:val="24"/>
          <w:szCs w:val="24"/>
        </w:rPr>
      </w:pPr>
      <w:r>
        <w:rPr>
          <w:rFonts w:hint="eastAsia" w:ascii="宋体" w:hAnsi="宋体"/>
          <w:b/>
          <w:sz w:val="24"/>
          <w:szCs w:val="24"/>
        </w:rPr>
        <w:t>发行公司债类证券</w:t>
      </w:r>
    </w:p>
    <w:p w14:paraId="633BAF7D">
      <w:pPr>
        <w:spacing w:line="300" w:lineRule="auto"/>
        <w:ind w:firstLine="480" w:firstLineChars="200"/>
        <w:rPr>
          <w:rFonts w:ascii="宋体" w:hAnsi="宋体" w:eastAsia="宋体"/>
          <w:sz w:val="24"/>
          <w:szCs w:val="24"/>
        </w:rPr>
      </w:pPr>
      <w:r>
        <w:rPr>
          <w:rFonts w:hint="eastAsia" w:ascii="宋体" w:hAnsi="宋体" w:eastAsia="宋体"/>
          <w:sz w:val="24"/>
          <w:szCs w:val="24"/>
        </w:rPr>
        <w:t>2</w:t>
      </w:r>
      <w:r>
        <w:rPr>
          <w:rFonts w:ascii="宋体" w:hAnsi="宋体" w:eastAsia="宋体"/>
          <w:sz w:val="24"/>
          <w:szCs w:val="24"/>
        </w:rPr>
        <w:t>015</w:t>
      </w:r>
      <w:r>
        <w:rPr>
          <w:rFonts w:hint="eastAsia" w:ascii="宋体" w:hAnsi="宋体" w:eastAsia="宋体"/>
          <w:sz w:val="24"/>
          <w:szCs w:val="24"/>
        </w:rPr>
        <w:t>年彩云城投通过前海股权交易中心发行“彩云城投置业股份有限公司私募债”，取得融资5亿元，期限2</w:t>
      </w:r>
      <w:r>
        <w:rPr>
          <w:rFonts w:ascii="宋体" w:hAnsi="宋体" w:eastAsia="宋体"/>
          <w:sz w:val="24"/>
          <w:szCs w:val="24"/>
        </w:rPr>
        <w:t>4</w:t>
      </w:r>
      <w:r>
        <w:rPr>
          <w:rFonts w:hint="eastAsia" w:ascii="宋体" w:hAnsi="宋体" w:eastAsia="宋体"/>
          <w:sz w:val="24"/>
          <w:szCs w:val="24"/>
        </w:rPr>
        <w:t>个月。2</w:t>
      </w:r>
      <w:r>
        <w:rPr>
          <w:rFonts w:ascii="宋体" w:hAnsi="宋体" w:eastAsia="宋体"/>
          <w:sz w:val="24"/>
          <w:szCs w:val="24"/>
        </w:rPr>
        <w:t>018</w:t>
      </w:r>
      <w:r>
        <w:rPr>
          <w:rFonts w:hint="eastAsia" w:ascii="宋体" w:hAnsi="宋体" w:eastAsia="宋体"/>
          <w:sz w:val="24"/>
          <w:szCs w:val="24"/>
        </w:rPr>
        <w:t>年彩云城投发行2</w:t>
      </w:r>
      <w:r>
        <w:rPr>
          <w:rFonts w:ascii="宋体" w:hAnsi="宋体" w:eastAsia="宋体"/>
          <w:sz w:val="24"/>
          <w:szCs w:val="24"/>
        </w:rPr>
        <w:t>0</w:t>
      </w:r>
      <w:r>
        <w:rPr>
          <w:rFonts w:hint="eastAsia" w:ascii="宋体" w:hAnsi="宋体" w:eastAsia="宋体"/>
          <w:sz w:val="24"/>
          <w:szCs w:val="24"/>
        </w:rPr>
        <w:t>亿元公司债券融资，票面利率6</w:t>
      </w:r>
      <w:r>
        <w:rPr>
          <w:rFonts w:ascii="宋体" w:hAnsi="宋体" w:eastAsia="宋体"/>
          <w:sz w:val="24"/>
          <w:szCs w:val="24"/>
        </w:rPr>
        <w:t>.3</w:t>
      </w:r>
      <w:r>
        <w:rPr>
          <w:rFonts w:hint="eastAsia" w:ascii="宋体" w:hAnsi="宋体" w:eastAsia="宋体"/>
          <w:sz w:val="24"/>
          <w:szCs w:val="24"/>
        </w:rPr>
        <w:t>%，期限三年。其他发行如下所示：</w:t>
      </w:r>
    </w:p>
    <w:p w14:paraId="291CF49E">
      <w:pPr>
        <w:spacing w:line="300" w:lineRule="auto"/>
        <w:jc w:val="center"/>
        <w:rPr>
          <w:rFonts w:ascii="宋体" w:hAnsi="宋体" w:eastAsia="宋体"/>
          <w:b/>
          <w:szCs w:val="21"/>
        </w:rPr>
      </w:pPr>
      <w:r>
        <w:rPr>
          <w:rFonts w:ascii="宋体" w:hAnsi="宋体" w:eastAsia="宋体"/>
          <w:b/>
          <w:szCs w:val="21"/>
        </w:rPr>
        <w:drawing>
          <wp:inline distT="0" distB="0" distL="0" distR="0">
            <wp:extent cx="5267960" cy="1746250"/>
            <wp:effectExtent l="0" t="0" r="8890" b="6350"/>
            <wp:docPr id="3" name="图片 3" descr="C:\Users\DELL\AppData\Local\Temp\154466631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DELL\AppData\Local\Temp\1544666310(1).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5267960" cy="1746250"/>
                    </a:xfrm>
                    <a:prstGeom prst="rect">
                      <a:avLst/>
                    </a:prstGeom>
                    <a:noFill/>
                    <a:ln>
                      <a:noFill/>
                    </a:ln>
                  </pic:spPr>
                </pic:pic>
              </a:graphicData>
            </a:graphic>
          </wp:inline>
        </w:drawing>
      </w:r>
    </w:p>
    <w:p w14:paraId="0AB7486E">
      <w:pPr>
        <w:pStyle w:val="7"/>
        <w:numPr>
          <w:ilvl w:val="0"/>
          <w:numId w:val="2"/>
        </w:numPr>
        <w:ind w:firstLineChars="0"/>
        <w:rPr>
          <w:rFonts w:ascii="宋体" w:hAnsi="宋体"/>
          <w:b/>
          <w:sz w:val="24"/>
          <w:szCs w:val="24"/>
        </w:rPr>
      </w:pPr>
      <w:r>
        <w:rPr>
          <w:rFonts w:hint="eastAsia" w:ascii="宋体" w:hAnsi="宋体"/>
          <w:b/>
          <w:sz w:val="24"/>
          <w:szCs w:val="24"/>
        </w:rPr>
        <w:t>信托融资</w:t>
      </w:r>
    </w:p>
    <w:p w14:paraId="7DEF1954">
      <w:pPr>
        <w:spacing w:line="300" w:lineRule="auto"/>
        <w:ind w:firstLine="480" w:firstLineChars="200"/>
        <w:rPr>
          <w:rFonts w:ascii="宋体" w:hAnsi="宋体" w:eastAsia="宋体"/>
          <w:sz w:val="24"/>
          <w:szCs w:val="24"/>
        </w:rPr>
      </w:pPr>
      <w:r>
        <w:rPr>
          <w:rFonts w:hint="eastAsia" w:ascii="宋体" w:hAnsi="宋体" w:eastAsia="宋体"/>
          <w:sz w:val="24"/>
          <w:szCs w:val="24"/>
        </w:rPr>
        <w:t>2</w:t>
      </w:r>
      <w:r>
        <w:rPr>
          <w:rFonts w:ascii="宋体" w:hAnsi="宋体" w:eastAsia="宋体"/>
          <w:sz w:val="24"/>
          <w:szCs w:val="24"/>
        </w:rPr>
        <w:t>014</w:t>
      </w:r>
      <w:r>
        <w:rPr>
          <w:rFonts w:hint="eastAsia" w:ascii="宋体" w:hAnsi="宋体" w:eastAsia="宋体"/>
          <w:sz w:val="24"/>
          <w:szCs w:val="24"/>
        </w:rPr>
        <w:t>年彩云城投以其享有的</w:t>
      </w:r>
      <w:r>
        <w:rPr>
          <w:rFonts w:ascii="宋体" w:hAnsi="宋体" w:eastAsia="宋体"/>
          <w:sz w:val="24"/>
          <w:szCs w:val="24"/>
        </w:rPr>
        <w:t>15.5</w:t>
      </w:r>
      <w:r>
        <w:rPr>
          <w:rFonts w:hint="eastAsia" w:ascii="宋体" w:hAnsi="宋体" w:eastAsia="宋体"/>
          <w:sz w:val="24"/>
          <w:szCs w:val="24"/>
        </w:rPr>
        <w:t>亿元其他应收款为投资标的，由重庆信托发起设立集合资金信托计划，通过信托计划获取资金人民币1</w:t>
      </w:r>
      <w:r>
        <w:rPr>
          <w:rFonts w:ascii="宋体" w:hAnsi="宋体" w:eastAsia="宋体"/>
          <w:sz w:val="24"/>
          <w:szCs w:val="24"/>
        </w:rPr>
        <w:t>5.5</w:t>
      </w:r>
      <w:r>
        <w:rPr>
          <w:rFonts w:hint="eastAsia" w:ascii="宋体" w:hAnsi="宋体" w:eastAsia="宋体"/>
          <w:sz w:val="24"/>
          <w:szCs w:val="24"/>
        </w:rPr>
        <w:t>亿元。</w:t>
      </w:r>
    </w:p>
    <w:p w14:paraId="32D147B0">
      <w:pPr>
        <w:spacing w:line="300" w:lineRule="auto"/>
        <w:ind w:firstLine="480" w:firstLineChars="200"/>
        <w:rPr>
          <w:rFonts w:ascii="宋体" w:hAnsi="宋体" w:eastAsia="宋体"/>
          <w:sz w:val="24"/>
          <w:szCs w:val="24"/>
        </w:rPr>
      </w:pPr>
      <w:r>
        <w:rPr>
          <w:rFonts w:hint="eastAsia" w:ascii="宋体" w:hAnsi="宋体" w:eastAsia="宋体"/>
          <w:sz w:val="24"/>
          <w:szCs w:val="24"/>
        </w:rPr>
        <w:t>2</w:t>
      </w:r>
      <w:r>
        <w:rPr>
          <w:rFonts w:ascii="宋体" w:hAnsi="宋体" w:eastAsia="宋体"/>
          <w:sz w:val="24"/>
          <w:szCs w:val="24"/>
        </w:rPr>
        <w:t>014</w:t>
      </w:r>
      <w:r>
        <w:rPr>
          <w:rFonts w:hint="eastAsia" w:ascii="宋体" w:hAnsi="宋体" w:eastAsia="宋体"/>
          <w:sz w:val="24"/>
          <w:szCs w:val="24"/>
        </w:rPr>
        <w:t>年彩云城投向中融国际信托公司融资1</w:t>
      </w:r>
      <w:r>
        <w:rPr>
          <w:rFonts w:ascii="宋体" w:hAnsi="宋体" w:eastAsia="宋体"/>
          <w:sz w:val="24"/>
          <w:szCs w:val="24"/>
        </w:rPr>
        <w:t>0</w:t>
      </w:r>
      <w:r>
        <w:rPr>
          <w:rFonts w:hint="eastAsia" w:ascii="宋体" w:hAnsi="宋体" w:eastAsia="宋体"/>
          <w:sz w:val="24"/>
          <w:szCs w:val="24"/>
        </w:rPr>
        <w:t>亿元，期限两年。2</w:t>
      </w:r>
      <w:r>
        <w:rPr>
          <w:rFonts w:ascii="宋体" w:hAnsi="宋体" w:eastAsia="宋体"/>
          <w:sz w:val="24"/>
          <w:szCs w:val="24"/>
        </w:rPr>
        <w:t>016</w:t>
      </w:r>
      <w:r>
        <w:rPr>
          <w:rFonts w:hint="eastAsia" w:ascii="宋体" w:hAnsi="宋体" w:eastAsia="宋体"/>
          <w:sz w:val="24"/>
          <w:szCs w:val="24"/>
        </w:rPr>
        <w:t>年底，彩云城投通过兴业国际信托有限公司融资1</w:t>
      </w:r>
      <w:r>
        <w:rPr>
          <w:rFonts w:ascii="宋体" w:hAnsi="宋体" w:eastAsia="宋体"/>
          <w:sz w:val="24"/>
          <w:szCs w:val="24"/>
        </w:rPr>
        <w:t>0</w:t>
      </w:r>
      <w:r>
        <w:rPr>
          <w:rFonts w:hint="eastAsia" w:ascii="宋体" w:hAnsi="宋体" w:eastAsia="宋体"/>
          <w:sz w:val="24"/>
          <w:szCs w:val="24"/>
        </w:rPr>
        <w:t>亿元，期限两年；上海国际信托有限公司融资2</w:t>
      </w:r>
      <w:r>
        <w:rPr>
          <w:rFonts w:ascii="宋体" w:hAnsi="宋体" w:eastAsia="宋体"/>
          <w:sz w:val="24"/>
          <w:szCs w:val="24"/>
        </w:rPr>
        <w:t>0</w:t>
      </w:r>
      <w:r>
        <w:rPr>
          <w:rFonts w:hint="eastAsia" w:ascii="宋体" w:hAnsi="宋体" w:eastAsia="宋体"/>
          <w:sz w:val="24"/>
          <w:szCs w:val="24"/>
        </w:rPr>
        <w:t>亿元，期限三年；紫金信托有限责任公司信托贷款6亿元，期限两年；昆仑信托有限责任公司信托贷款8亿元，期限五年。</w:t>
      </w:r>
    </w:p>
    <w:p w14:paraId="251C3744">
      <w:pPr>
        <w:spacing w:line="300" w:lineRule="auto"/>
        <w:ind w:firstLine="480" w:firstLineChars="200"/>
        <w:rPr>
          <w:rFonts w:ascii="宋体" w:hAnsi="宋体" w:eastAsia="宋体"/>
          <w:sz w:val="24"/>
          <w:szCs w:val="24"/>
        </w:rPr>
      </w:pPr>
      <w:r>
        <w:rPr>
          <w:rFonts w:hint="eastAsia" w:ascii="宋体" w:hAnsi="宋体" w:eastAsia="宋体"/>
          <w:sz w:val="24"/>
          <w:szCs w:val="24"/>
        </w:rPr>
        <w:t>2</w:t>
      </w:r>
      <w:r>
        <w:rPr>
          <w:rFonts w:ascii="宋体" w:hAnsi="宋体" w:eastAsia="宋体"/>
          <w:sz w:val="24"/>
          <w:szCs w:val="24"/>
        </w:rPr>
        <w:t>017</w:t>
      </w:r>
      <w:r>
        <w:rPr>
          <w:rFonts w:hint="eastAsia" w:ascii="宋体" w:hAnsi="宋体" w:eastAsia="宋体"/>
          <w:sz w:val="24"/>
          <w:szCs w:val="24"/>
        </w:rPr>
        <w:t>年3月3日，彩云城投下属全资子公司彩云城投龙江房地产开发有限公司取得云南国际信托有限公司发放的信托贷款1</w:t>
      </w:r>
      <w:r>
        <w:rPr>
          <w:rFonts w:ascii="宋体" w:hAnsi="宋体" w:eastAsia="宋体"/>
          <w:sz w:val="24"/>
          <w:szCs w:val="24"/>
        </w:rPr>
        <w:t>1.2</w:t>
      </w:r>
      <w:r>
        <w:rPr>
          <w:rFonts w:hint="eastAsia" w:ascii="宋体" w:hAnsi="宋体" w:eastAsia="宋体"/>
          <w:sz w:val="24"/>
          <w:szCs w:val="24"/>
        </w:rPr>
        <w:t>亿元，贷款期限不超过3年。</w:t>
      </w:r>
    </w:p>
    <w:p w14:paraId="5959462E">
      <w:pPr>
        <w:spacing w:line="300" w:lineRule="auto"/>
        <w:ind w:firstLine="480" w:firstLineChars="200"/>
        <w:rPr>
          <w:rFonts w:ascii="宋体" w:hAnsi="宋体" w:eastAsia="宋体"/>
          <w:sz w:val="24"/>
          <w:szCs w:val="24"/>
        </w:rPr>
      </w:pPr>
      <w:r>
        <w:rPr>
          <w:rFonts w:hint="eastAsia" w:ascii="宋体" w:hAnsi="宋体" w:eastAsia="宋体"/>
          <w:sz w:val="24"/>
          <w:szCs w:val="24"/>
        </w:rPr>
        <w:t>2</w:t>
      </w:r>
      <w:r>
        <w:rPr>
          <w:rFonts w:ascii="宋体" w:hAnsi="宋体" w:eastAsia="宋体"/>
          <w:sz w:val="24"/>
          <w:szCs w:val="24"/>
        </w:rPr>
        <w:t>017</w:t>
      </w:r>
      <w:r>
        <w:rPr>
          <w:rFonts w:hint="eastAsia" w:ascii="宋体" w:hAnsi="宋体" w:eastAsia="宋体"/>
          <w:sz w:val="24"/>
          <w:szCs w:val="24"/>
        </w:rPr>
        <w:t>年向其关联方长城财富资产管理股份有限公司融资1</w:t>
      </w:r>
      <w:r>
        <w:rPr>
          <w:rFonts w:ascii="宋体" w:hAnsi="宋体" w:eastAsia="宋体"/>
          <w:sz w:val="24"/>
          <w:szCs w:val="24"/>
        </w:rPr>
        <w:t>2</w:t>
      </w:r>
      <w:r>
        <w:rPr>
          <w:rFonts w:hint="eastAsia" w:ascii="宋体" w:hAnsi="宋体" w:eastAsia="宋体"/>
          <w:sz w:val="24"/>
          <w:szCs w:val="24"/>
        </w:rPr>
        <w:t>亿元。</w:t>
      </w:r>
    </w:p>
    <w:p w14:paraId="19394F18">
      <w:pPr>
        <w:spacing w:line="300" w:lineRule="auto"/>
        <w:ind w:firstLine="480" w:firstLineChars="200"/>
        <w:rPr>
          <w:rFonts w:ascii="宋体" w:hAnsi="宋体" w:eastAsia="宋体"/>
          <w:sz w:val="24"/>
          <w:szCs w:val="24"/>
        </w:rPr>
      </w:pPr>
      <w:r>
        <w:rPr>
          <w:rFonts w:hint="eastAsia" w:ascii="宋体" w:hAnsi="宋体" w:eastAsia="宋体"/>
          <w:sz w:val="24"/>
          <w:szCs w:val="24"/>
        </w:rPr>
        <w:t>2</w:t>
      </w:r>
      <w:r>
        <w:rPr>
          <w:rFonts w:ascii="宋体" w:hAnsi="宋体" w:eastAsia="宋体"/>
          <w:sz w:val="24"/>
          <w:szCs w:val="24"/>
        </w:rPr>
        <w:t>018</w:t>
      </w:r>
      <w:r>
        <w:rPr>
          <w:rFonts w:hint="eastAsia" w:ascii="宋体" w:hAnsi="宋体" w:eastAsia="宋体"/>
          <w:sz w:val="24"/>
          <w:szCs w:val="24"/>
        </w:rPr>
        <w:t>年彩云城投向中信信托融资8亿，期限不超过2年。</w:t>
      </w:r>
    </w:p>
    <w:p w14:paraId="688F203D">
      <w:pPr>
        <w:spacing w:line="300" w:lineRule="auto"/>
        <w:ind w:firstLine="480" w:firstLineChars="200"/>
        <w:rPr>
          <w:rFonts w:ascii="宋体" w:hAnsi="宋体" w:eastAsia="宋体"/>
          <w:sz w:val="24"/>
          <w:szCs w:val="24"/>
        </w:rPr>
      </w:pPr>
      <w:r>
        <w:rPr>
          <w:rFonts w:ascii="宋体" w:hAnsi="宋体" w:eastAsia="宋体"/>
          <w:sz w:val="24"/>
          <w:szCs w:val="24"/>
        </w:rPr>
        <w:t>2018</w:t>
      </w:r>
      <w:r>
        <w:rPr>
          <w:rFonts w:hint="eastAsia" w:ascii="宋体" w:hAnsi="宋体" w:eastAsia="宋体"/>
          <w:sz w:val="24"/>
          <w:szCs w:val="24"/>
        </w:rPr>
        <w:t>年彩云城投下属全资子公司陕西普润达投资发展有限公司向上海国际信托有限公司融资6亿元，期限不超过2年。</w:t>
      </w:r>
    </w:p>
    <w:p w14:paraId="4DC13C05">
      <w:pPr>
        <w:pStyle w:val="7"/>
        <w:numPr>
          <w:ilvl w:val="0"/>
          <w:numId w:val="2"/>
        </w:numPr>
        <w:ind w:firstLineChars="0"/>
        <w:rPr>
          <w:rFonts w:ascii="宋体" w:hAnsi="宋体"/>
          <w:b/>
          <w:sz w:val="24"/>
          <w:szCs w:val="24"/>
        </w:rPr>
      </w:pPr>
      <w:r>
        <w:rPr>
          <w:rFonts w:hint="eastAsia" w:ascii="宋体" w:hAnsi="宋体"/>
          <w:b/>
          <w:sz w:val="24"/>
          <w:szCs w:val="24"/>
        </w:rPr>
        <w:t>历年融资结构统计</w:t>
      </w:r>
    </w:p>
    <w:p w14:paraId="267C3F05">
      <w:pPr>
        <w:spacing w:line="300" w:lineRule="auto"/>
        <w:ind w:firstLine="480" w:firstLineChars="200"/>
        <w:rPr>
          <w:rFonts w:ascii="宋体" w:hAnsi="宋体" w:eastAsia="宋体"/>
          <w:sz w:val="24"/>
          <w:szCs w:val="24"/>
        </w:rPr>
      </w:pPr>
      <w:r>
        <w:rPr>
          <w:rFonts w:hint="eastAsia" w:ascii="宋体" w:hAnsi="宋体" w:eastAsia="宋体"/>
          <w:sz w:val="24"/>
          <w:szCs w:val="24"/>
        </w:rPr>
        <w:t>上述融资均用土地使用权提供抵押担保，或者彩云大股东提供连带责任保证担保。</w:t>
      </w:r>
    </w:p>
    <w:p w14:paraId="794CDF8D">
      <w:pPr>
        <w:pStyle w:val="7"/>
        <w:ind w:left="1200" w:firstLine="0" w:firstLineChars="0"/>
        <w:rPr>
          <w:rFonts w:ascii="宋体" w:hAnsi="宋体"/>
          <w:szCs w:val="21"/>
        </w:rPr>
      </w:pPr>
      <w:r>
        <w:rPr>
          <w:rFonts w:ascii="宋体" w:hAnsi="宋体"/>
          <w:szCs w:val="21"/>
        </w:rPr>
        <w:t xml:space="preserve">                                               </w:t>
      </w:r>
      <w:r>
        <w:rPr>
          <w:rFonts w:hint="eastAsia" w:ascii="宋体" w:hAnsi="宋体"/>
          <w:szCs w:val="21"/>
        </w:rPr>
        <w:t>单位：万元</w:t>
      </w:r>
    </w:p>
    <w:tbl>
      <w:tblPr>
        <w:tblStyle w:val="5"/>
        <w:tblW w:w="8584" w:type="dxa"/>
        <w:jc w:val="center"/>
        <w:tblLayout w:type="autofit"/>
        <w:tblCellMar>
          <w:top w:w="0" w:type="dxa"/>
          <w:left w:w="108" w:type="dxa"/>
          <w:bottom w:w="0" w:type="dxa"/>
          <w:right w:w="108" w:type="dxa"/>
        </w:tblCellMar>
      </w:tblPr>
      <w:tblGrid>
        <w:gridCol w:w="3231"/>
        <w:gridCol w:w="1509"/>
        <w:gridCol w:w="1105"/>
        <w:gridCol w:w="1634"/>
        <w:gridCol w:w="1105"/>
      </w:tblGrid>
      <w:tr w14:paraId="5293102E">
        <w:tblPrEx>
          <w:tblCellMar>
            <w:top w:w="0" w:type="dxa"/>
            <w:left w:w="108" w:type="dxa"/>
            <w:bottom w:w="0" w:type="dxa"/>
            <w:right w:w="108" w:type="dxa"/>
          </w:tblCellMar>
        </w:tblPrEx>
        <w:trPr>
          <w:trHeight w:val="257" w:hRule="atLeast"/>
          <w:jc w:val="center"/>
        </w:trPr>
        <w:tc>
          <w:tcPr>
            <w:tcW w:w="3231" w:type="dxa"/>
            <w:tcBorders>
              <w:top w:val="single" w:color="auto" w:sz="4" w:space="0"/>
              <w:left w:val="single" w:color="auto" w:sz="4" w:space="0"/>
              <w:bottom w:val="single" w:color="auto" w:sz="4" w:space="0"/>
              <w:right w:val="single" w:color="auto" w:sz="4" w:space="0"/>
            </w:tcBorders>
            <w:shd w:val="clear" w:color="000000" w:fill="9BC2E6"/>
            <w:noWrap/>
            <w:vAlign w:val="bottom"/>
          </w:tcPr>
          <w:p w14:paraId="3D234B14">
            <w:pPr>
              <w:widowControl/>
              <w:spacing w:line="300" w:lineRule="auto"/>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509" w:type="dxa"/>
            <w:tcBorders>
              <w:top w:val="single" w:color="auto" w:sz="4" w:space="0"/>
              <w:left w:val="nil"/>
              <w:bottom w:val="single" w:color="auto" w:sz="4" w:space="0"/>
              <w:right w:val="single" w:color="auto" w:sz="4" w:space="0"/>
            </w:tcBorders>
            <w:shd w:val="clear" w:color="000000" w:fill="9BC2E6"/>
            <w:noWrap/>
            <w:vAlign w:val="bottom"/>
          </w:tcPr>
          <w:p w14:paraId="1D4A7A81">
            <w:pPr>
              <w:widowControl/>
              <w:spacing w:line="300" w:lineRule="auto"/>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金额①</w:t>
            </w:r>
          </w:p>
        </w:tc>
        <w:tc>
          <w:tcPr>
            <w:tcW w:w="1105" w:type="dxa"/>
            <w:tcBorders>
              <w:top w:val="single" w:color="auto" w:sz="4" w:space="0"/>
              <w:left w:val="nil"/>
              <w:bottom w:val="single" w:color="auto" w:sz="4" w:space="0"/>
              <w:right w:val="single" w:color="auto" w:sz="4" w:space="0"/>
            </w:tcBorders>
            <w:shd w:val="clear" w:color="000000" w:fill="9BC2E6"/>
            <w:noWrap/>
            <w:vAlign w:val="bottom"/>
          </w:tcPr>
          <w:p w14:paraId="47F2FBCF">
            <w:pPr>
              <w:widowControl/>
              <w:spacing w:line="300" w:lineRule="auto"/>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占比①</w:t>
            </w:r>
          </w:p>
        </w:tc>
        <w:tc>
          <w:tcPr>
            <w:tcW w:w="1634" w:type="dxa"/>
            <w:tcBorders>
              <w:top w:val="single" w:color="auto" w:sz="4" w:space="0"/>
              <w:left w:val="nil"/>
              <w:bottom w:val="single" w:color="auto" w:sz="4" w:space="0"/>
              <w:right w:val="single" w:color="auto" w:sz="4" w:space="0"/>
            </w:tcBorders>
            <w:shd w:val="clear" w:color="000000" w:fill="9BC2E6"/>
            <w:noWrap/>
            <w:vAlign w:val="bottom"/>
          </w:tcPr>
          <w:p w14:paraId="3B9A692C">
            <w:pPr>
              <w:widowControl/>
              <w:spacing w:line="300" w:lineRule="auto"/>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金额②</w:t>
            </w:r>
          </w:p>
        </w:tc>
        <w:tc>
          <w:tcPr>
            <w:tcW w:w="1105" w:type="dxa"/>
            <w:tcBorders>
              <w:top w:val="single" w:color="auto" w:sz="4" w:space="0"/>
              <w:left w:val="nil"/>
              <w:bottom w:val="single" w:color="auto" w:sz="4" w:space="0"/>
              <w:right w:val="single" w:color="auto" w:sz="4" w:space="0"/>
            </w:tcBorders>
            <w:shd w:val="clear" w:color="000000" w:fill="9BC2E6"/>
            <w:noWrap/>
            <w:vAlign w:val="bottom"/>
          </w:tcPr>
          <w:p w14:paraId="686720B7">
            <w:pPr>
              <w:widowControl/>
              <w:spacing w:line="300" w:lineRule="auto"/>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占比②</w:t>
            </w:r>
          </w:p>
        </w:tc>
      </w:tr>
      <w:tr w14:paraId="2595FDEC">
        <w:tblPrEx>
          <w:tblCellMar>
            <w:top w:w="0" w:type="dxa"/>
            <w:left w:w="108" w:type="dxa"/>
            <w:bottom w:w="0" w:type="dxa"/>
            <w:right w:w="108" w:type="dxa"/>
          </w:tblCellMar>
        </w:tblPrEx>
        <w:trPr>
          <w:trHeight w:val="257" w:hRule="atLeast"/>
          <w:jc w:val="center"/>
        </w:trPr>
        <w:tc>
          <w:tcPr>
            <w:tcW w:w="3231" w:type="dxa"/>
            <w:tcBorders>
              <w:top w:val="nil"/>
              <w:left w:val="single" w:color="auto" w:sz="4" w:space="0"/>
              <w:bottom w:val="single" w:color="auto" w:sz="4" w:space="0"/>
              <w:right w:val="single" w:color="auto" w:sz="4" w:space="0"/>
            </w:tcBorders>
            <w:shd w:val="clear" w:color="auto" w:fill="auto"/>
            <w:noWrap/>
            <w:vAlign w:val="bottom"/>
          </w:tcPr>
          <w:p w14:paraId="7BE648A9">
            <w:pPr>
              <w:widowControl/>
              <w:spacing w:line="300" w:lineRule="auto"/>
              <w:jc w:val="lef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上市以来累计募资</w:t>
            </w:r>
          </w:p>
        </w:tc>
        <w:tc>
          <w:tcPr>
            <w:tcW w:w="1509" w:type="dxa"/>
            <w:tcBorders>
              <w:top w:val="nil"/>
              <w:left w:val="nil"/>
              <w:bottom w:val="single" w:color="auto" w:sz="4" w:space="0"/>
              <w:right w:val="single" w:color="auto" w:sz="4" w:space="0"/>
            </w:tcBorders>
            <w:shd w:val="clear" w:color="auto" w:fill="auto"/>
            <w:noWrap/>
            <w:vAlign w:val="bottom"/>
          </w:tcPr>
          <w:p w14:paraId="052BEED8">
            <w:pPr>
              <w:widowControl/>
              <w:spacing w:line="300" w:lineRule="auto"/>
              <w:jc w:val="righ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5,482,530.69</w:t>
            </w:r>
          </w:p>
        </w:tc>
        <w:tc>
          <w:tcPr>
            <w:tcW w:w="1105" w:type="dxa"/>
            <w:tcBorders>
              <w:top w:val="nil"/>
              <w:left w:val="nil"/>
              <w:bottom w:val="single" w:color="auto" w:sz="4" w:space="0"/>
              <w:right w:val="single" w:color="auto" w:sz="4" w:space="0"/>
            </w:tcBorders>
            <w:shd w:val="clear" w:color="auto" w:fill="auto"/>
            <w:noWrap/>
            <w:vAlign w:val="bottom"/>
          </w:tcPr>
          <w:p w14:paraId="079778D2">
            <w:pPr>
              <w:widowControl/>
              <w:spacing w:line="300" w:lineRule="auto"/>
              <w:jc w:val="righ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100.00%</w:t>
            </w:r>
          </w:p>
        </w:tc>
        <w:tc>
          <w:tcPr>
            <w:tcW w:w="1634" w:type="dxa"/>
            <w:tcBorders>
              <w:top w:val="nil"/>
              <w:left w:val="nil"/>
              <w:bottom w:val="single" w:color="auto" w:sz="4" w:space="0"/>
              <w:right w:val="single" w:color="auto" w:sz="4" w:space="0"/>
            </w:tcBorders>
            <w:shd w:val="clear" w:color="auto" w:fill="auto"/>
            <w:noWrap/>
            <w:vAlign w:val="bottom"/>
          </w:tcPr>
          <w:p w14:paraId="111E4234">
            <w:pPr>
              <w:widowControl/>
              <w:spacing w:line="300" w:lineRule="auto"/>
              <w:jc w:val="righ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11,430,335.29</w:t>
            </w:r>
          </w:p>
        </w:tc>
        <w:tc>
          <w:tcPr>
            <w:tcW w:w="1105" w:type="dxa"/>
            <w:tcBorders>
              <w:top w:val="nil"/>
              <w:left w:val="nil"/>
              <w:bottom w:val="single" w:color="auto" w:sz="4" w:space="0"/>
              <w:right w:val="single" w:color="auto" w:sz="4" w:space="0"/>
            </w:tcBorders>
            <w:shd w:val="clear" w:color="auto" w:fill="auto"/>
            <w:noWrap/>
            <w:vAlign w:val="bottom"/>
          </w:tcPr>
          <w:p w14:paraId="5C43AD0C">
            <w:pPr>
              <w:widowControl/>
              <w:spacing w:line="300" w:lineRule="auto"/>
              <w:jc w:val="righ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100.00%</w:t>
            </w:r>
          </w:p>
        </w:tc>
      </w:tr>
      <w:tr w14:paraId="130C48CC">
        <w:tblPrEx>
          <w:tblCellMar>
            <w:top w:w="0" w:type="dxa"/>
            <w:left w:w="108" w:type="dxa"/>
            <w:bottom w:w="0" w:type="dxa"/>
            <w:right w:w="108" w:type="dxa"/>
          </w:tblCellMar>
        </w:tblPrEx>
        <w:trPr>
          <w:trHeight w:val="257" w:hRule="atLeast"/>
          <w:jc w:val="center"/>
        </w:trPr>
        <w:tc>
          <w:tcPr>
            <w:tcW w:w="3231" w:type="dxa"/>
            <w:tcBorders>
              <w:top w:val="nil"/>
              <w:left w:val="single" w:color="auto" w:sz="4" w:space="0"/>
              <w:bottom w:val="single" w:color="auto" w:sz="4" w:space="0"/>
              <w:right w:val="single" w:color="auto" w:sz="4" w:space="0"/>
            </w:tcBorders>
            <w:shd w:val="clear" w:color="000000" w:fill="DDEBF7"/>
            <w:noWrap/>
            <w:vAlign w:val="bottom"/>
          </w:tcPr>
          <w:p w14:paraId="761B2D36">
            <w:pPr>
              <w:widowControl/>
              <w:spacing w:line="300" w:lineRule="auto"/>
              <w:jc w:val="lef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直接融资</w:t>
            </w:r>
          </w:p>
        </w:tc>
        <w:tc>
          <w:tcPr>
            <w:tcW w:w="1509" w:type="dxa"/>
            <w:tcBorders>
              <w:top w:val="nil"/>
              <w:left w:val="nil"/>
              <w:bottom w:val="single" w:color="auto" w:sz="4" w:space="0"/>
              <w:right w:val="single" w:color="auto" w:sz="4" w:space="0"/>
            </w:tcBorders>
            <w:shd w:val="clear" w:color="000000" w:fill="DDEBF7"/>
            <w:noWrap/>
            <w:vAlign w:val="bottom"/>
          </w:tcPr>
          <w:p w14:paraId="470A5193">
            <w:pPr>
              <w:widowControl/>
              <w:spacing w:line="300" w:lineRule="auto"/>
              <w:jc w:val="righ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1,348,121.84</w:t>
            </w:r>
          </w:p>
        </w:tc>
        <w:tc>
          <w:tcPr>
            <w:tcW w:w="1105" w:type="dxa"/>
            <w:tcBorders>
              <w:top w:val="nil"/>
              <w:left w:val="nil"/>
              <w:bottom w:val="single" w:color="auto" w:sz="4" w:space="0"/>
              <w:right w:val="single" w:color="auto" w:sz="4" w:space="0"/>
            </w:tcBorders>
            <w:shd w:val="clear" w:color="000000" w:fill="DDEBF7"/>
            <w:noWrap/>
            <w:vAlign w:val="bottom"/>
          </w:tcPr>
          <w:p w14:paraId="2086C40C">
            <w:pPr>
              <w:widowControl/>
              <w:spacing w:line="300" w:lineRule="auto"/>
              <w:jc w:val="righ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24.59%</w:t>
            </w:r>
          </w:p>
        </w:tc>
        <w:tc>
          <w:tcPr>
            <w:tcW w:w="1634" w:type="dxa"/>
            <w:tcBorders>
              <w:top w:val="nil"/>
              <w:left w:val="nil"/>
              <w:bottom w:val="single" w:color="auto" w:sz="4" w:space="0"/>
              <w:right w:val="single" w:color="auto" w:sz="4" w:space="0"/>
            </w:tcBorders>
            <w:shd w:val="clear" w:color="000000" w:fill="DDEBF7"/>
            <w:noWrap/>
            <w:vAlign w:val="bottom"/>
          </w:tcPr>
          <w:p w14:paraId="11B95A3C">
            <w:pPr>
              <w:widowControl/>
              <w:spacing w:line="300" w:lineRule="auto"/>
              <w:jc w:val="righ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1,348,121.84</w:t>
            </w:r>
          </w:p>
        </w:tc>
        <w:tc>
          <w:tcPr>
            <w:tcW w:w="1105" w:type="dxa"/>
            <w:tcBorders>
              <w:top w:val="nil"/>
              <w:left w:val="nil"/>
              <w:bottom w:val="single" w:color="auto" w:sz="4" w:space="0"/>
              <w:right w:val="single" w:color="auto" w:sz="4" w:space="0"/>
            </w:tcBorders>
            <w:shd w:val="clear" w:color="000000" w:fill="DDEBF7"/>
            <w:noWrap/>
            <w:vAlign w:val="bottom"/>
          </w:tcPr>
          <w:p w14:paraId="3B17818B">
            <w:pPr>
              <w:widowControl/>
              <w:spacing w:line="300" w:lineRule="auto"/>
              <w:jc w:val="righ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11.79%</w:t>
            </w:r>
          </w:p>
        </w:tc>
      </w:tr>
      <w:tr w14:paraId="2B43120B">
        <w:tblPrEx>
          <w:tblCellMar>
            <w:top w:w="0" w:type="dxa"/>
            <w:left w:w="108" w:type="dxa"/>
            <w:bottom w:w="0" w:type="dxa"/>
            <w:right w:w="108" w:type="dxa"/>
          </w:tblCellMar>
        </w:tblPrEx>
        <w:trPr>
          <w:trHeight w:val="257" w:hRule="atLeast"/>
          <w:jc w:val="center"/>
        </w:trPr>
        <w:tc>
          <w:tcPr>
            <w:tcW w:w="3231" w:type="dxa"/>
            <w:tcBorders>
              <w:top w:val="nil"/>
              <w:left w:val="single" w:color="auto" w:sz="4" w:space="0"/>
              <w:bottom w:val="single" w:color="auto" w:sz="4" w:space="0"/>
              <w:right w:val="single" w:color="auto" w:sz="4" w:space="0"/>
            </w:tcBorders>
            <w:shd w:val="clear" w:color="auto" w:fill="auto"/>
            <w:noWrap/>
            <w:vAlign w:val="bottom"/>
          </w:tcPr>
          <w:p w14:paraId="5978F9F6">
            <w:pPr>
              <w:widowControl/>
              <w:spacing w:line="300" w:lineRule="auto"/>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首发</w:t>
            </w:r>
          </w:p>
        </w:tc>
        <w:tc>
          <w:tcPr>
            <w:tcW w:w="1509" w:type="dxa"/>
            <w:tcBorders>
              <w:top w:val="nil"/>
              <w:left w:val="nil"/>
              <w:bottom w:val="single" w:color="auto" w:sz="4" w:space="0"/>
              <w:right w:val="single" w:color="auto" w:sz="4" w:space="0"/>
            </w:tcBorders>
            <w:shd w:val="clear" w:color="auto" w:fill="auto"/>
            <w:noWrap/>
            <w:vAlign w:val="bottom"/>
          </w:tcPr>
          <w:p w14:paraId="14D9ABD0">
            <w:pPr>
              <w:widowControl/>
              <w:spacing w:line="30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10,880.00</w:t>
            </w:r>
          </w:p>
        </w:tc>
        <w:tc>
          <w:tcPr>
            <w:tcW w:w="1105" w:type="dxa"/>
            <w:tcBorders>
              <w:top w:val="nil"/>
              <w:left w:val="nil"/>
              <w:bottom w:val="single" w:color="auto" w:sz="4" w:space="0"/>
              <w:right w:val="single" w:color="auto" w:sz="4" w:space="0"/>
            </w:tcBorders>
            <w:shd w:val="clear" w:color="auto" w:fill="auto"/>
            <w:noWrap/>
            <w:vAlign w:val="bottom"/>
          </w:tcPr>
          <w:p w14:paraId="5EEECDDB">
            <w:pPr>
              <w:widowControl/>
              <w:spacing w:line="30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0.20%</w:t>
            </w:r>
          </w:p>
        </w:tc>
        <w:tc>
          <w:tcPr>
            <w:tcW w:w="1634" w:type="dxa"/>
            <w:tcBorders>
              <w:top w:val="nil"/>
              <w:left w:val="nil"/>
              <w:bottom w:val="single" w:color="auto" w:sz="4" w:space="0"/>
              <w:right w:val="single" w:color="auto" w:sz="4" w:space="0"/>
            </w:tcBorders>
            <w:shd w:val="clear" w:color="auto" w:fill="auto"/>
            <w:noWrap/>
            <w:vAlign w:val="bottom"/>
          </w:tcPr>
          <w:p w14:paraId="0C8BB0E8">
            <w:pPr>
              <w:widowControl/>
              <w:spacing w:line="30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10,880.00</w:t>
            </w:r>
          </w:p>
        </w:tc>
        <w:tc>
          <w:tcPr>
            <w:tcW w:w="1105" w:type="dxa"/>
            <w:tcBorders>
              <w:top w:val="nil"/>
              <w:left w:val="nil"/>
              <w:bottom w:val="single" w:color="auto" w:sz="4" w:space="0"/>
              <w:right w:val="single" w:color="auto" w:sz="4" w:space="0"/>
            </w:tcBorders>
            <w:shd w:val="clear" w:color="auto" w:fill="auto"/>
            <w:noWrap/>
            <w:vAlign w:val="bottom"/>
          </w:tcPr>
          <w:p w14:paraId="7F5E9143">
            <w:pPr>
              <w:widowControl/>
              <w:spacing w:line="30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0.10%</w:t>
            </w:r>
          </w:p>
        </w:tc>
      </w:tr>
      <w:tr w14:paraId="36FF2ED4">
        <w:tblPrEx>
          <w:tblCellMar>
            <w:top w:w="0" w:type="dxa"/>
            <w:left w:w="108" w:type="dxa"/>
            <w:bottom w:w="0" w:type="dxa"/>
            <w:right w:w="108" w:type="dxa"/>
          </w:tblCellMar>
        </w:tblPrEx>
        <w:trPr>
          <w:trHeight w:val="257" w:hRule="atLeast"/>
          <w:jc w:val="center"/>
        </w:trPr>
        <w:tc>
          <w:tcPr>
            <w:tcW w:w="3231" w:type="dxa"/>
            <w:tcBorders>
              <w:top w:val="nil"/>
              <w:left w:val="single" w:color="auto" w:sz="4" w:space="0"/>
              <w:bottom w:val="single" w:color="auto" w:sz="4" w:space="0"/>
              <w:right w:val="single" w:color="auto" w:sz="4" w:space="0"/>
            </w:tcBorders>
            <w:shd w:val="clear" w:color="auto" w:fill="auto"/>
            <w:noWrap/>
            <w:vAlign w:val="bottom"/>
          </w:tcPr>
          <w:p w14:paraId="27C4C97C">
            <w:pPr>
              <w:widowControl/>
              <w:spacing w:line="300" w:lineRule="auto"/>
              <w:jc w:val="lef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 xml:space="preserve">    股权再融资</w:t>
            </w:r>
          </w:p>
        </w:tc>
        <w:tc>
          <w:tcPr>
            <w:tcW w:w="1509" w:type="dxa"/>
            <w:tcBorders>
              <w:top w:val="nil"/>
              <w:left w:val="nil"/>
              <w:bottom w:val="single" w:color="auto" w:sz="4" w:space="0"/>
              <w:right w:val="single" w:color="auto" w:sz="4" w:space="0"/>
            </w:tcBorders>
            <w:shd w:val="clear" w:color="auto" w:fill="auto"/>
            <w:noWrap/>
            <w:vAlign w:val="bottom"/>
          </w:tcPr>
          <w:p w14:paraId="7C7577C2">
            <w:pPr>
              <w:widowControl/>
              <w:spacing w:line="300" w:lineRule="auto"/>
              <w:jc w:val="righ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251,241.84</w:t>
            </w:r>
          </w:p>
        </w:tc>
        <w:tc>
          <w:tcPr>
            <w:tcW w:w="1105" w:type="dxa"/>
            <w:tcBorders>
              <w:top w:val="nil"/>
              <w:left w:val="nil"/>
              <w:bottom w:val="single" w:color="auto" w:sz="4" w:space="0"/>
              <w:right w:val="single" w:color="auto" w:sz="4" w:space="0"/>
            </w:tcBorders>
            <w:shd w:val="clear" w:color="auto" w:fill="auto"/>
            <w:noWrap/>
            <w:vAlign w:val="bottom"/>
          </w:tcPr>
          <w:p w14:paraId="2D56CB39">
            <w:pPr>
              <w:widowControl/>
              <w:spacing w:line="300" w:lineRule="auto"/>
              <w:jc w:val="righ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4.58%</w:t>
            </w:r>
          </w:p>
        </w:tc>
        <w:tc>
          <w:tcPr>
            <w:tcW w:w="1634" w:type="dxa"/>
            <w:tcBorders>
              <w:top w:val="nil"/>
              <w:left w:val="nil"/>
              <w:bottom w:val="single" w:color="auto" w:sz="4" w:space="0"/>
              <w:right w:val="single" w:color="auto" w:sz="4" w:space="0"/>
            </w:tcBorders>
            <w:shd w:val="clear" w:color="auto" w:fill="auto"/>
            <w:noWrap/>
            <w:vAlign w:val="bottom"/>
          </w:tcPr>
          <w:p w14:paraId="0B3B0365">
            <w:pPr>
              <w:widowControl/>
              <w:spacing w:line="300" w:lineRule="auto"/>
              <w:jc w:val="righ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251,251.84</w:t>
            </w:r>
          </w:p>
        </w:tc>
        <w:tc>
          <w:tcPr>
            <w:tcW w:w="1105" w:type="dxa"/>
            <w:tcBorders>
              <w:top w:val="nil"/>
              <w:left w:val="nil"/>
              <w:bottom w:val="single" w:color="auto" w:sz="4" w:space="0"/>
              <w:right w:val="single" w:color="auto" w:sz="4" w:space="0"/>
            </w:tcBorders>
            <w:shd w:val="clear" w:color="auto" w:fill="auto"/>
            <w:noWrap/>
            <w:vAlign w:val="bottom"/>
          </w:tcPr>
          <w:p w14:paraId="62D21101">
            <w:pPr>
              <w:widowControl/>
              <w:spacing w:line="300" w:lineRule="auto"/>
              <w:jc w:val="righ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2.20%</w:t>
            </w:r>
          </w:p>
        </w:tc>
      </w:tr>
      <w:tr w14:paraId="0D171D53">
        <w:tblPrEx>
          <w:tblCellMar>
            <w:top w:w="0" w:type="dxa"/>
            <w:left w:w="108" w:type="dxa"/>
            <w:bottom w:w="0" w:type="dxa"/>
            <w:right w:w="108" w:type="dxa"/>
          </w:tblCellMar>
        </w:tblPrEx>
        <w:trPr>
          <w:trHeight w:val="257" w:hRule="atLeast"/>
          <w:jc w:val="center"/>
        </w:trPr>
        <w:tc>
          <w:tcPr>
            <w:tcW w:w="3231" w:type="dxa"/>
            <w:tcBorders>
              <w:top w:val="nil"/>
              <w:left w:val="single" w:color="auto" w:sz="4" w:space="0"/>
              <w:bottom w:val="single" w:color="auto" w:sz="4" w:space="0"/>
              <w:right w:val="single" w:color="auto" w:sz="4" w:space="0"/>
            </w:tcBorders>
            <w:shd w:val="clear" w:color="auto" w:fill="auto"/>
            <w:noWrap/>
            <w:vAlign w:val="bottom"/>
          </w:tcPr>
          <w:p w14:paraId="7B23B961">
            <w:pPr>
              <w:widowControl/>
              <w:spacing w:line="300" w:lineRule="auto"/>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配股</w:t>
            </w:r>
          </w:p>
        </w:tc>
        <w:tc>
          <w:tcPr>
            <w:tcW w:w="1509" w:type="dxa"/>
            <w:tcBorders>
              <w:top w:val="nil"/>
              <w:left w:val="nil"/>
              <w:bottom w:val="single" w:color="auto" w:sz="4" w:space="0"/>
              <w:right w:val="single" w:color="auto" w:sz="4" w:space="0"/>
            </w:tcBorders>
            <w:shd w:val="clear" w:color="auto" w:fill="auto"/>
            <w:noWrap/>
            <w:vAlign w:val="bottom"/>
          </w:tcPr>
          <w:p w14:paraId="64F6A6BF">
            <w:pPr>
              <w:widowControl/>
              <w:spacing w:line="30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15,004.80</w:t>
            </w:r>
          </w:p>
        </w:tc>
        <w:tc>
          <w:tcPr>
            <w:tcW w:w="1105" w:type="dxa"/>
            <w:tcBorders>
              <w:top w:val="nil"/>
              <w:left w:val="nil"/>
              <w:bottom w:val="single" w:color="auto" w:sz="4" w:space="0"/>
              <w:right w:val="single" w:color="auto" w:sz="4" w:space="0"/>
            </w:tcBorders>
            <w:shd w:val="clear" w:color="auto" w:fill="auto"/>
            <w:noWrap/>
            <w:vAlign w:val="bottom"/>
          </w:tcPr>
          <w:p w14:paraId="3C147818">
            <w:pPr>
              <w:widowControl/>
              <w:spacing w:line="30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0.27%</w:t>
            </w:r>
          </w:p>
        </w:tc>
        <w:tc>
          <w:tcPr>
            <w:tcW w:w="1634" w:type="dxa"/>
            <w:tcBorders>
              <w:top w:val="nil"/>
              <w:left w:val="nil"/>
              <w:bottom w:val="single" w:color="auto" w:sz="4" w:space="0"/>
              <w:right w:val="single" w:color="auto" w:sz="4" w:space="0"/>
            </w:tcBorders>
            <w:shd w:val="clear" w:color="auto" w:fill="auto"/>
            <w:noWrap/>
            <w:vAlign w:val="bottom"/>
          </w:tcPr>
          <w:p w14:paraId="271C46AB">
            <w:pPr>
              <w:widowControl/>
              <w:spacing w:line="30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15,004.80</w:t>
            </w:r>
          </w:p>
        </w:tc>
        <w:tc>
          <w:tcPr>
            <w:tcW w:w="1105" w:type="dxa"/>
            <w:tcBorders>
              <w:top w:val="nil"/>
              <w:left w:val="nil"/>
              <w:bottom w:val="single" w:color="auto" w:sz="4" w:space="0"/>
              <w:right w:val="single" w:color="auto" w:sz="4" w:space="0"/>
            </w:tcBorders>
            <w:shd w:val="clear" w:color="auto" w:fill="auto"/>
            <w:noWrap/>
            <w:vAlign w:val="bottom"/>
          </w:tcPr>
          <w:p w14:paraId="2969AB68">
            <w:pPr>
              <w:widowControl/>
              <w:spacing w:line="30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0.13%</w:t>
            </w:r>
          </w:p>
        </w:tc>
      </w:tr>
      <w:tr w14:paraId="16DD6620">
        <w:tblPrEx>
          <w:tblCellMar>
            <w:top w:w="0" w:type="dxa"/>
            <w:left w:w="108" w:type="dxa"/>
            <w:bottom w:w="0" w:type="dxa"/>
            <w:right w:w="108" w:type="dxa"/>
          </w:tblCellMar>
        </w:tblPrEx>
        <w:trPr>
          <w:trHeight w:val="257" w:hRule="atLeast"/>
          <w:jc w:val="center"/>
        </w:trPr>
        <w:tc>
          <w:tcPr>
            <w:tcW w:w="3231" w:type="dxa"/>
            <w:tcBorders>
              <w:top w:val="nil"/>
              <w:left w:val="single" w:color="auto" w:sz="4" w:space="0"/>
              <w:bottom w:val="single" w:color="auto" w:sz="4" w:space="0"/>
              <w:right w:val="single" w:color="auto" w:sz="4" w:space="0"/>
            </w:tcBorders>
            <w:shd w:val="clear" w:color="auto" w:fill="auto"/>
            <w:noWrap/>
            <w:vAlign w:val="bottom"/>
          </w:tcPr>
          <w:p w14:paraId="03CAACCD">
            <w:pPr>
              <w:widowControl/>
              <w:spacing w:line="300" w:lineRule="auto"/>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定向增发</w:t>
            </w:r>
          </w:p>
        </w:tc>
        <w:tc>
          <w:tcPr>
            <w:tcW w:w="1509" w:type="dxa"/>
            <w:tcBorders>
              <w:top w:val="nil"/>
              <w:left w:val="nil"/>
              <w:bottom w:val="single" w:color="auto" w:sz="4" w:space="0"/>
              <w:right w:val="single" w:color="auto" w:sz="4" w:space="0"/>
            </w:tcBorders>
            <w:shd w:val="clear" w:color="auto" w:fill="auto"/>
            <w:noWrap/>
            <w:vAlign w:val="bottom"/>
          </w:tcPr>
          <w:p w14:paraId="164B14D2">
            <w:pPr>
              <w:widowControl/>
              <w:spacing w:line="30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2,362,337.04</w:t>
            </w:r>
          </w:p>
        </w:tc>
        <w:tc>
          <w:tcPr>
            <w:tcW w:w="1105" w:type="dxa"/>
            <w:tcBorders>
              <w:top w:val="nil"/>
              <w:left w:val="nil"/>
              <w:bottom w:val="single" w:color="auto" w:sz="4" w:space="0"/>
              <w:right w:val="single" w:color="auto" w:sz="4" w:space="0"/>
            </w:tcBorders>
            <w:shd w:val="clear" w:color="auto" w:fill="auto"/>
            <w:noWrap/>
            <w:vAlign w:val="bottom"/>
          </w:tcPr>
          <w:p w14:paraId="5E17993D">
            <w:pPr>
              <w:widowControl/>
              <w:spacing w:line="30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4.31%</w:t>
            </w:r>
          </w:p>
        </w:tc>
        <w:tc>
          <w:tcPr>
            <w:tcW w:w="1634" w:type="dxa"/>
            <w:tcBorders>
              <w:top w:val="nil"/>
              <w:left w:val="nil"/>
              <w:bottom w:val="single" w:color="auto" w:sz="4" w:space="0"/>
              <w:right w:val="single" w:color="auto" w:sz="4" w:space="0"/>
            </w:tcBorders>
            <w:shd w:val="clear" w:color="auto" w:fill="auto"/>
            <w:noWrap/>
            <w:vAlign w:val="bottom"/>
          </w:tcPr>
          <w:p w14:paraId="65613B92">
            <w:pPr>
              <w:widowControl/>
              <w:spacing w:line="30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236,237.04</w:t>
            </w:r>
          </w:p>
        </w:tc>
        <w:tc>
          <w:tcPr>
            <w:tcW w:w="1105" w:type="dxa"/>
            <w:tcBorders>
              <w:top w:val="nil"/>
              <w:left w:val="nil"/>
              <w:bottom w:val="single" w:color="auto" w:sz="4" w:space="0"/>
              <w:right w:val="single" w:color="auto" w:sz="4" w:space="0"/>
            </w:tcBorders>
            <w:shd w:val="clear" w:color="auto" w:fill="auto"/>
            <w:noWrap/>
            <w:vAlign w:val="bottom"/>
          </w:tcPr>
          <w:p w14:paraId="5B0747F1">
            <w:pPr>
              <w:widowControl/>
              <w:spacing w:line="30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2.07%</w:t>
            </w:r>
          </w:p>
        </w:tc>
      </w:tr>
      <w:tr w14:paraId="5382A574">
        <w:tblPrEx>
          <w:tblCellMar>
            <w:top w:w="0" w:type="dxa"/>
            <w:left w:w="108" w:type="dxa"/>
            <w:bottom w:w="0" w:type="dxa"/>
            <w:right w:w="108" w:type="dxa"/>
          </w:tblCellMar>
        </w:tblPrEx>
        <w:trPr>
          <w:trHeight w:val="257" w:hRule="atLeast"/>
          <w:jc w:val="center"/>
        </w:trPr>
        <w:tc>
          <w:tcPr>
            <w:tcW w:w="3231" w:type="dxa"/>
            <w:tcBorders>
              <w:top w:val="nil"/>
              <w:left w:val="single" w:color="auto" w:sz="4" w:space="0"/>
              <w:bottom w:val="single" w:color="auto" w:sz="4" w:space="0"/>
              <w:right w:val="single" w:color="auto" w:sz="4" w:space="0"/>
            </w:tcBorders>
            <w:shd w:val="clear" w:color="auto" w:fill="auto"/>
            <w:noWrap/>
            <w:vAlign w:val="bottom"/>
          </w:tcPr>
          <w:p w14:paraId="615271E5">
            <w:pPr>
              <w:widowControl/>
              <w:spacing w:line="300" w:lineRule="auto"/>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公开增发</w:t>
            </w:r>
          </w:p>
        </w:tc>
        <w:tc>
          <w:tcPr>
            <w:tcW w:w="1509" w:type="dxa"/>
            <w:tcBorders>
              <w:top w:val="nil"/>
              <w:left w:val="nil"/>
              <w:bottom w:val="single" w:color="auto" w:sz="4" w:space="0"/>
              <w:right w:val="single" w:color="auto" w:sz="4" w:space="0"/>
            </w:tcBorders>
            <w:shd w:val="clear" w:color="auto" w:fill="auto"/>
            <w:noWrap/>
            <w:vAlign w:val="bottom"/>
          </w:tcPr>
          <w:p w14:paraId="7411552F">
            <w:pPr>
              <w:widowControl/>
              <w:spacing w:line="30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105" w:type="dxa"/>
            <w:tcBorders>
              <w:top w:val="nil"/>
              <w:left w:val="nil"/>
              <w:bottom w:val="single" w:color="auto" w:sz="4" w:space="0"/>
              <w:right w:val="single" w:color="auto" w:sz="4" w:space="0"/>
            </w:tcBorders>
            <w:shd w:val="clear" w:color="auto" w:fill="auto"/>
            <w:noWrap/>
            <w:vAlign w:val="bottom"/>
          </w:tcPr>
          <w:p w14:paraId="1AE8ECAB">
            <w:pPr>
              <w:widowControl/>
              <w:spacing w:line="30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634" w:type="dxa"/>
            <w:tcBorders>
              <w:top w:val="nil"/>
              <w:left w:val="nil"/>
              <w:bottom w:val="single" w:color="auto" w:sz="4" w:space="0"/>
              <w:right w:val="single" w:color="auto" w:sz="4" w:space="0"/>
            </w:tcBorders>
            <w:shd w:val="clear" w:color="auto" w:fill="auto"/>
            <w:noWrap/>
            <w:vAlign w:val="bottom"/>
          </w:tcPr>
          <w:p w14:paraId="29FBE8A5">
            <w:pPr>
              <w:widowControl/>
              <w:spacing w:line="30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105" w:type="dxa"/>
            <w:tcBorders>
              <w:top w:val="nil"/>
              <w:left w:val="nil"/>
              <w:bottom w:val="single" w:color="auto" w:sz="4" w:space="0"/>
              <w:right w:val="single" w:color="auto" w:sz="4" w:space="0"/>
            </w:tcBorders>
            <w:shd w:val="clear" w:color="auto" w:fill="auto"/>
            <w:noWrap/>
            <w:vAlign w:val="bottom"/>
          </w:tcPr>
          <w:p w14:paraId="2F42ADAA">
            <w:pPr>
              <w:widowControl/>
              <w:spacing w:line="30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r>
      <w:tr w14:paraId="6C6EAD90">
        <w:tblPrEx>
          <w:tblCellMar>
            <w:top w:w="0" w:type="dxa"/>
            <w:left w:w="108" w:type="dxa"/>
            <w:bottom w:w="0" w:type="dxa"/>
            <w:right w:w="108" w:type="dxa"/>
          </w:tblCellMar>
        </w:tblPrEx>
        <w:trPr>
          <w:trHeight w:val="257" w:hRule="atLeast"/>
          <w:jc w:val="center"/>
        </w:trPr>
        <w:tc>
          <w:tcPr>
            <w:tcW w:w="3231" w:type="dxa"/>
            <w:tcBorders>
              <w:top w:val="nil"/>
              <w:left w:val="single" w:color="auto" w:sz="4" w:space="0"/>
              <w:bottom w:val="single" w:color="auto" w:sz="4" w:space="0"/>
              <w:right w:val="single" w:color="auto" w:sz="4" w:space="0"/>
            </w:tcBorders>
            <w:shd w:val="clear" w:color="auto" w:fill="auto"/>
            <w:noWrap/>
            <w:vAlign w:val="bottom"/>
          </w:tcPr>
          <w:p w14:paraId="6C617823">
            <w:pPr>
              <w:widowControl/>
              <w:spacing w:line="300" w:lineRule="auto"/>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优先股</w:t>
            </w:r>
          </w:p>
        </w:tc>
        <w:tc>
          <w:tcPr>
            <w:tcW w:w="1509" w:type="dxa"/>
            <w:tcBorders>
              <w:top w:val="nil"/>
              <w:left w:val="nil"/>
              <w:bottom w:val="single" w:color="auto" w:sz="4" w:space="0"/>
              <w:right w:val="single" w:color="auto" w:sz="4" w:space="0"/>
            </w:tcBorders>
            <w:shd w:val="clear" w:color="auto" w:fill="auto"/>
            <w:noWrap/>
            <w:vAlign w:val="bottom"/>
          </w:tcPr>
          <w:p w14:paraId="25F952DF">
            <w:pPr>
              <w:widowControl/>
              <w:spacing w:line="30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105" w:type="dxa"/>
            <w:tcBorders>
              <w:top w:val="nil"/>
              <w:left w:val="nil"/>
              <w:bottom w:val="single" w:color="auto" w:sz="4" w:space="0"/>
              <w:right w:val="single" w:color="auto" w:sz="4" w:space="0"/>
            </w:tcBorders>
            <w:shd w:val="clear" w:color="auto" w:fill="auto"/>
            <w:noWrap/>
            <w:vAlign w:val="bottom"/>
          </w:tcPr>
          <w:p w14:paraId="5D9293A0">
            <w:pPr>
              <w:widowControl/>
              <w:spacing w:line="30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634" w:type="dxa"/>
            <w:tcBorders>
              <w:top w:val="nil"/>
              <w:left w:val="nil"/>
              <w:bottom w:val="single" w:color="auto" w:sz="4" w:space="0"/>
              <w:right w:val="single" w:color="auto" w:sz="4" w:space="0"/>
            </w:tcBorders>
            <w:shd w:val="clear" w:color="auto" w:fill="auto"/>
            <w:noWrap/>
            <w:vAlign w:val="bottom"/>
          </w:tcPr>
          <w:p w14:paraId="3832E547">
            <w:pPr>
              <w:widowControl/>
              <w:spacing w:line="30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105" w:type="dxa"/>
            <w:tcBorders>
              <w:top w:val="nil"/>
              <w:left w:val="nil"/>
              <w:bottom w:val="single" w:color="auto" w:sz="4" w:space="0"/>
              <w:right w:val="single" w:color="auto" w:sz="4" w:space="0"/>
            </w:tcBorders>
            <w:shd w:val="clear" w:color="auto" w:fill="auto"/>
            <w:noWrap/>
            <w:vAlign w:val="bottom"/>
          </w:tcPr>
          <w:p w14:paraId="21EF8085">
            <w:pPr>
              <w:widowControl/>
              <w:spacing w:line="30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r>
      <w:tr w14:paraId="520CA532">
        <w:tblPrEx>
          <w:tblCellMar>
            <w:top w:w="0" w:type="dxa"/>
            <w:left w:w="108" w:type="dxa"/>
            <w:bottom w:w="0" w:type="dxa"/>
            <w:right w:w="108" w:type="dxa"/>
          </w:tblCellMar>
        </w:tblPrEx>
        <w:trPr>
          <w:trHeight w:val="257" w:hRule="atLeast"/>
          <w:jc w:val="center"/>
        </w:trPr>
        <w:tc>
          <w:tcPr>
            <w:tcW w:w="3231" w:type="dxa"/>
            <w:tcBorders>
              <w:top w:val="nil"/>
              <w:left w:val="single" w:color="auto" w:sz="4" w:space="0"/>
              <w:bottom w:val="single" w:color="auto" w:sz="4" w:space="0"/>
              <w:right w:val="single" w:color="auto" w:sz="4" w:space="0"/>
            </w:tcBorders>
            <w:shd w:val="clear" w:color="auto" w:fill="auto"/>
            <w:noWrap/>
            <w:vAlign w:val="bottom"/>
          </w:tcPr>
          <w:p w14:paraId="2D411AD4">
            <w:pPr>
              <w:widowControl/>
              <w:spacing w:line="300" w:lineRule="auto"/>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发债券融资</w:t>
            </w:r>
          </w:p>
        </w:tc>
        <w:tc>
          <w:tcPr>
            <w:tcW w:w="1509" w:type="dxa"/>
            <w:tcBorders>
              <w:top w:val="nil"/>
              <w:left w:val="nil"/>
              <w:bottom w:val="single" w:color="auto" w:sz="4" w:space="0"/>
              <w:right w:val="single" w:color="auto" w:sz="4" w:space="0"/>
            </w:tcBorders>
            <w:shd w:val="clear" w:color="auto" w:fill="auto"/>
            <w:noWrap/>
            <w:vAlign w:val="bottom"/>
          </w:tcPr>
          <w:p w14:paraId="6B004502">
            <w:pPr>
              <w:widowControl/>
              <w:spacing w:line="30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1,086,000.00</w:t>
            </w:r>
          </w:p>
        </w:tc>
        <w:tc>
          <w:tcPr>
            <w:tcW w:w="1105" w:type="dxa"/>
            <w:tcBorders>
              <w:top w:val="nil"/>
              <w:left w:val="nil"/>
              <w:bottom w:val="single" w:color="auto" w:sz="4" w:space="0"/>
              <w:right w:val="single" w:color="auto" w:sz="4" w:space="0"/>
            </w:tcBorders>
            <w:shd w:val="clear" w:color="auto" w:fill="auto"/>
            <w:noWrap/>
            <w:vAlign w:val="bottom"/>
          </w:tcPr>
          <w:p w14:paraId="37478D71">
            <w:pPr>
              <w:widowControl/>
              <w:spacing w:line="30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19.81%</w:t>
            </w:r>
          </w:p>
        </w:tc>
        <w:tc>
          <w:tcPr>
            <w:tcW w:w="1634" w:type="dxa"/>
            <w:tcBorders>
              <w:top w:val="nil"/>
              <w:left w:val="nil"/>
              <w:bottom w:val="single" w:color="auto" w:sz="4" w:space="0"/>
              <w:right w:val="single" w:color="auto" w:sz="4" w:space="0"/>
            </w:tcBorders>
            <w:shd w:val="clear" w:color="auto" w:fill="auto"/>
            <w:noWrap/>
            <w:vAlign w:val="bottom"/>
          </w:tcPr>
          <w:p w14:paraId="665C90E1">
            <w:pPr>
              <w:widowControl/>
              <w:spacing w:line="30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1,086,000.00</w:t>
            </w:r>
          </w:p>
        </w:tc>
        <w:tc>
          <w:tcPr>
            <w:tcW w:w="1105" w:type="dxa"/>
            <w:tcBorders>
              <w:top w:val="nil"/>
              <w:left w:val="nil"/>
              <w:bottom w:val="single" w:color="auto" w:sz="4" w:space="0"/>
              <w:right w:val="single" w:color="auto" w:sz="4" w:space="0"/>
            </w:tcBorders>
            <w:shd w:val="clear" w:color="auto" w:fill="auto"/>
            <w:noWrap/>
            <w:vAlign w:val="bottom"/>
          </w:tcPr>
          <w:p w14:paraId="46F8ABD4">
            <w:pPr>
              <w:widowControl/>
              <w:spacing w:line="30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9.49%</w:t>
            </w:r>
          </w:p>
        </w:tc>
      </w:tr>
      <w:tr w14:paraId="01C2093E">
        <w:tblPrEx>
          <w:tblCellMar>
            <w:top w:w="0" w:type="dxa"/>
            <w:left w:w="108" w:type="dxa"/>
            <w:bottom w:w="0" w:type="dxa"/>
            <w:right w:w="108" w:type="dxa"/>
          </w:tblCellMar>
        </w:tblPrEx>
        <w:trPr>
          <w:trHeight w:val="257" w:hRule="atLeast"/>
          <w:jc w:val="center"/>
        </w:trPr>
        <w:tc>
          <w:tcPr>
            <w:tcW w:w="3231" w:type="dxa"/>
            <w:tcBorders>
              <w:top w:val="nil"/>
              <w:left w:val="single" w:color="auto" w:sz="4" w:space="0"/>
              <w:bottom w:val="single" w:color="auto" w:sz="4" w:space="0"/>
              <w:right w:val="single" w:color="auto" w:sz="4" w:space="0"/>
            </w:tcBorders>
            <w:shd w:val="clear" w:color="000000" w:fill="DDEBF7"/>
            <w:noWrap/>
            <w:vAlign w:val="bottom"/>
          </w:tcPr>
          <w:p w14:paraId="448FC50F">
            <w:pPr>
              <w:widowControl/>
              <w:spacing w:line="300" w:lineRule="auto"/>
              <w:jc w:val="lef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间接融资（按增量负债计算）</w:t>
            </w:r>
          </w:p>
        </w:tc>
        <w:tc>
          <w:tcPr>
            <w:tcW w:w="1509" w:type="dxa"/>
            <w:tcBorders>
              <w:top w:val="nil"/>
              <w:left w:val="nil"/>
              <w:bottom w:val="single" w:color="auto" w:sz="4" w:space="0"/>
              <w:right w:val="single" w:color="auto" w:sz="4" w:space="0"/>
            </w:tcBorders>
            <w:shd w:val="clear" w:color="000000" w:fill="DDEBF7"/>
            <w:noWrap/>
            <w:vAlign w:val="bottom"/>
          </w:tcPr>
          <w:p w14:paraId="133EC3A1">
            <w:pPr>
              <w:widowControl/>
              <w:spacing w:line="300" w:lineRule="auto"/>
              <w:jc w:val="righ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4,134,408.85</w:t>
            </w:r>
          </w:p>
        </w:tc>
        <w:tc>
          <w:tcPr>
            <w:tcW w:w="1105" w:type="dxa"/>
            <w:tcBorders>
              <w:top w:val="nil"/>
              <w:left w:val="nil"/>
              <w:bottom w:val="single" w:color="auto" w:sz="4" w:space="0"/>
              <w:right w:val="single" w:color="auto" w:sz="4" w:space="0"/>
            </w:tcBorders>
            <w:shd w:val="clear" w:color="000000" w:fill="DDEBF7"/>
            <w:noWrap/>
            <w:vAlign w:val="bottom"/>
          </w:tcPr>
          <w:p w14:paraId="1B5B5A48">
            <w:pPr>
              <w:widowControl/>
              <w:spacing w:line="300" w:lineRule="auto"/>
              <w:jc w:val="righ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75.41%</w:t>
            </w:r>
          </w:p>
        </w:tc>
        <w:tc>
          <w:tcPr>
            <w:tcW w:w="1634" w:type="dxa"/>
            <w:tcBorders>
              <w:top w:val="nil"/>
              <w:left w:val="nil"/>
              <w:bottom w:val="single" w:color="auto" w:sz="4" w:space="0"/>
              <w:right w:val="single" w:color="auto" w:sz="4" w:space="0"/>
            </w:tcBorders>
            <w:shd w:val="clear" w:color="000000" w:fill="DDEBF7"/>
            <w:noWrap/>
            <w:vAlign w:val="bottom"/>
          </w:tcPr>
          <w:p w14:paraId="227C58F1">
            <w:pPr>
              <w:widowControl/>
              <w:spacing w:line="30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105" w:type="dxa"/>
            <w:tcBorders>
              <w:top w:val="nil"/>
              <w:left w:val="nil"/>
              <w:bottom w:val="single" w:color="auto" w:sz="4" w:space="0"/>
              <w:right w:val="single" w:color="auto" w:sz="4" w:space="0"/>
            </w:tcBorders>
            <w:shd w:val="clear" w:color="000000" w:fill="DDEBF7"/>
            <w:noWrap/>
            <w:vAlign w:val="bottom"/>
          </w:tcPr>
          <w:p w14:paraId="3DBB22EF">
            <w:pPr>
              <w:widowControl/>
              <w:spacing w:line="30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r>
      <w:tr w14:paraId="3998AEBB">
        <w:tblPrEx>
          <w:tblCellMar>
            <w:top w:w="0" w:type="dxa"/>
            <w:left w:w="108" w:type="dxa"/>
            <w:bottom w:w="0" w:type="dxa"/>
            <w:right w:w="108" w:type="dxa"/>
          </w:tblCellMar>
        </w:tblPrEx>
        <w:trPr>
          <w:trHeight w:val="257" w:hRule="atLeast"/>
          <w:jc w:val="center"/>
        </w:trPr>
        <w:tc>
          <w:tcPr>
            <w:tcW w:w="3231" w:type="dxa"/>
            <w:tcBorders>
              <w:top w:val="nil"/>
              <w:left w:val="single" w:color="auto" w:sz="4" w:space="0"/>
              <w:bottom w:val="single" w:color="auto" w:sz="4" w:space="0"/>
              <w:right w:val="single" w:color="auto" w:sz="4" w:space="0"/>
            </w:tcBorders>
            <w:shd w:val="clear" w:color="auto" w:fill="auto"/>
            <w:noWrap/>
            <w:vAlign w:val="bottom"/>
          </w:tcPr>
          <w:p w14:paraId="3AAFBA98">
            <w:pPr>
              <w:widowControl/>
              <w:spacing w:line="300" w:lineRule="auto"/>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累计新增短期借款</w:t>
            </w:r>
          </w:p>
        </w:tc>
        <w:tc>
          <w:tcPr>
            <w:tcW w:w="1509" w:type="dxa"/>
            <w:tcBorders>
              <w:top w:val="nil"/>
              <w:left w:val="nil"/>
              <w:bottom w:val="single" w:color="auto" w:sz="4" w:space="0"/>
              <w:right w:val="single" w:color="auto" w:sz="4" w:space="0"/>
            </w:tcBorders>
            <w:shd w:val="clear" w:color="auto" w:fill="auto"/>
            <w:noWrap/>
            <w:vAlign w:val="bottom"/>
          </w:tcPr>
          <w:p w14:paraId="03E265B3">
            <w:pPr>
              <w:widowControl/>
              <w:spacing w:line="30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89,132.03</w:t>
            </w:r>
          </w:p>
        </w:tc>
        <w:tc>
          <w:tcPr>
            <w:tcW w:w="1105" w:type="dxa"/>
            <w:tcBorders>
              <w:top w:val="nil"/>
              <w:left w:val="nil"/>
              <w:bottom w:val="single" w:color="auto" w:sz="4" w:space="0"/>
              <w:right w:val="single" w:color="auto" w:sz="4" w:space="0"/>
            </w:tcBorders>
            <w:shd w:val="clear" w:color="auto" w:fill="auto"/>
            <w:noWrap/>
            <w:vAlign w:val="bottom"/>
          </w:tcPr>
          <w:p w14:paraId="1BB9B9D9">
            <w:pPr>
              <w:widowControl/>
              <w:spacing w:line="30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1.63%</w:t>
            </w:r>
          </w:p>
        </w:tc>
        <w:tc>
          <w:tcPr>
            <w:tcW w:w="1634" w:type="dxa"/>
            <w:tcBorders>
              <w:top w:val="nil"/>
              <w:left w:val="nil"/>
              <w:bottom w:val="single" w:color="auto" w:sz="4" w:space="0"/>
              <w:right w:val="single" w:color="auto" w:sz="4" w:space="0"/>
            </w:tcBorders>
            <w:shd w:val="clear" w:color="auto" w:fill="auto"/>
            <w:noWrap/>
            <w:vAlign w:val="bottom"/>
          </w:tcPr>
          <w:p w14:paraId="5FAA9E3C">
            <w:pPr>
              <w:widowControl/>
              <w:spacing w:line="30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105" w:type="dxa"/>
            <w:tcBorders>
              <w:top w:val="nil"/>
              <w:left w:val="nil"/>
              <w:bottom w:val="single" w:color="auto" w:sz="4" w:space="0"/>
              <w:right w:val="single" w:color="auto" w:sz="4" w:space="0"/>
            </w:tcBorders>
            <w:shd w:val="clear" w:color="auto" w:fill="auto"/>
            <w:noWrap/>
            <w:vAlign w:val="bottom"/>
          </w:tcPr>
          <w:p w14:paraId="60F34F09">
            <w:pPr>
              <w:widowControl/>
              <w:spacing w:line="30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r>
      <w:tr w14:paraId="25B9DB48">
        <w:tblPrEx>
          <w:tblCellMar>
            <w:top w:w="0" w:type="dxa"/>
            <w:left w:w="108" w:type="dxa"/>
            <w:bottom w:w="0" w:type="dxa"/>
            <w:right w:w="108" w:type="dxa"/>
          </w:tblCellMar>
        </w:tblPrEx>
        <w:trPr>
          <w:trHeight w:val="257" w:hRule="atLeast"/>
          <w:jc w:val="center"/>
        </w:trPr>
        <w:tc>
          <w:tcPr>
            <w:tcW w:w="3231" w:type="dxa"/>
            <w:tcBorders>
              <w:top w:val="nil"/>
              <w:left w:val="single" w:color="auto" w:sz="4" w:space="0"/>
              <w:bottom w:val="single" w:color="auto" w:sz="4" w:space="0"/>
              <w:right w:val="single" w:color="auto" w:sz="4" w:space="0"/>
            </w:tcBorders>
            <w:shd w:val="clear" w:color="auto" w:fill="auto"/>
            <w:noWrap/>
            <w:vAlign w:val="bottom"/>
          </w:tcPr>
          <w:p w14:paraId="51E9A08A">
            <w:pPr>
              <w:widowControl/>
              <w:spacing w:line="300" w:lineRule="auto"/>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累计新增长期借款</w:t>
            </w:r>
          </w:p>
        </w:tc>
        <w:tc>
          <w:tcPr>
            <w:tcW w:w="1509" w:type="dxa"/>
            <w:tcBorders>
              <w:top w:val="nil"/>
              <w:left w:val="nil"/>
              <w:bottom w:val="single" w:color="auto" w:sz="4" w:space="0"/>
              <w:right w:val="single" w:color="auto" w:sz="4" w:space="0"/>
            </w:tcBorders>
            <w:shd w:val="clear" w:color="auto" w:fill="auto"/>
            <w:noWrap/>
            <w:vAlign w:val="bottom"/>
          </w:tcPr>
          <w:p w14:paraId="7AED8C5C">
            <w:pPr>
              <w:widowControl/>
              <w:spacing w:line="30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4,045,276.82</w:t>
            </w:r>
          </w:p>
        </w:tc>
        <w:tc>
          <w:tcPr>
            <w:tcW w:w="1105" w:type="dxa"/>
            <w:tcBorders>
              <w:top w:val="nil"/>
              <w:left w:val="nil"/>
              <w:bottom w:val="single" w:color="auto" w:sz="4" w:space="0"/>
              <w:right w:val="single" w:color="auto" w:sz="4" w:space="0"/>
            </w:tcBorders>
            <w:shd w:val="clear" w:color="auto" w:fill="auto"/>
            <w:noWrap/>
            <w:vAlign w:val="bottom"/>
          </w:tcPr>
          <w:p w14:paraId="0394F26F">
            <w:pPr>
              <w:widowControl/>
              <w:spacing w:line="30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73.78%</w:t>
            </w:r>
          </w:p>
        </w:tc>
        <w:tc>
          <w:tcPr>
            <w:tcW w:w="1634" w:type="dxa"/>
            <w:tcBorders>
              <w:top w:val="nil"/>
              <w:left w:val="nil"/>
              <w:bottom w:val="single" w:color="auto" w:sz="4" w:space="0"/>
              <w:right w:val="single" w:color="auto" w:sz="4" w:space="0"/>
            </w:tcBorders>
            <w:shd w:val="clear" w:color="auto" w:fill="auto"/>
            <w:noWrap/>
            <w:vAlign w:val="bottom"/>
          </w:tcPr>
          <w:p w14:paraId="186D6BF9">
            <w:pPr>
              <w:widowControl/>
              <w:spacing w:line="30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105" w:type="dxa"/>
            <w:tcBorders>
              <w:top w:val="nil"/>
              <w:left w:val="nil"/>
              <w:bottom w:val="single" w:color="auto" w:sz="4" w:space="0"/>
              <w:right w:val="single" w:color="auto" w:sz="4" w:space="0"/>
            </w:tcBorders>
            <w:shd w:val="clear" w:color="auto" w:fill="auto"/>
            <w:noWrap/>
            <w:vAlign w:val="bottom"/>
          </w:tcPr>
          <w:p w14:paraId="0BC5F0B4">
            <w:pPr>
              <w:widowControl/>
              <w:spacing w:line="30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r>
      <w:tr w14:paraId="7FC61669">
        <w:tblPrEx>
          <w:tblCellMar>
            <w:top w:w="0" w:type="dxa"/>
            <w:left w:w="108" w:type="dxa"/>
            <w:bottom w:w="0" w:type="dxa"/>
            <w:right w:w="108" w:type="dxa"/>
          </w:tblCellMar>
        </w:tblPrEx>
        <w:trPr>
          <w:trHeight w:val="257" w:hRule="atLeast"/>
          <w:jc w:val="center"/>
        </w:trPr>
        <w:tc>
          <w:tcPr>
            <w:tcW w:w="3231" w:type="dxa"/>
            <w:tcBorders>
              <w:top w:val="nil"/>
              <w:left w:val="single" w:color="auto" w:sz="4" w:space="0"/>
              <w:bottom w:val="single" w:color="auto" w:sz="4" w:space="0"/>
              <w:right w:val="single" w:color="auto" w:sz="4" w:space="0"/>
            </w:tcBorders>
            <w:shd w:val="clear" w:color="000000" w:fill="DDEBF7"/>
            <w:noWrap/>
            <w:vAlign w:val="bottom"/>
          </w:tcPr>
          <w:p w14:paraId="4C3F7B41">
            <w:pPr>
              <w:widowControl/>
              <w:spacing w:line="300" w:lineRule="auto"/>
              <w:jc w:val="lef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间接融资（按筹资现金流入）</w:t>
            </w:r>
          </w:p>
        </w:tc>
        <w:tc>
          <w:tcPr>
            <w:tcW w:w="1509" w:type="dxa"/>
            <w:tcBorders>
              <w:top w:val="nil"/>
              <w:left w:val="nil"/>
              <w:bottom w:val="single" w:color="auto" w:sz="4" w:space="0"/>
              <w:right w:val="single" w:color="auto" w:sz="4" w:space="0"/>
            </w:tcBorders>
            <w:shd w:val="clear" w:color="000000" w:fill="DDEBF7"/>
            <w:noWrap/>
            <w:vAlign w:val="bottom"/>
          </w:tcPr>
          <w:p w14:paraId="79ABDE8E">
            <w:pPr>
              <w:widowControl/>
              <w:spacing w:line="30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105" w:type="dxa"/>
            <w:tcBorders>
              <w:top w:val="nil"/>
              <w:left w:val="nil"/>
              <w:bottom w:val="single" w:color="auto" w:sz="4" w:space="0"/>
              <w:right w:val="single" w:color="auto" w:sz="4" w:space="0"/>
            </w:tcBorders>
            <w:shd w:val="clear" w:color="000000" w:fill="DDEBF7"/>
            <w:noWrap/>
            <w:vAlign w:val="bottom"/>
          </w:tcPr>
          <w:p w14:paraId="7D97E89A">
            <w:pPr>
              <w:widowControl/>
              <w:spacing w:line="30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634" w:type="dxa"/>
            <w:tcBorders>
              <w:top w:val="nil"/>
              <w:left w:val="nil"/>
              <w:bottom w:val="single" w:color="auto" w:sz="4" w:space="0"/>
              <w:right w:val="single" w:color="auto" w:sz="4" w:space="0"/>
            </w:tcBorders>
            <w:shd w:val="clear" w:color="000000" w:fill="DDEBF7"/>
            <w:noWrap/>
            <w:vAlign w:val="bottom"/>
          </w:tcPr>
          <w:p w14:paraId="3986EAB1">
            <w:pPr>
              <w:widowControl/>
              <w:spacing w:line="300" w:lineRule="auto"/>
              <w:jc w:val="righ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10,082,213.44</w:t>
            </w:r>
          </w:p>
        </w:tc>
        <w:tc>
          <w:tcPr>
            <w:tcW w:w="1105" w:type="dxa"/>
            <w:tcBorders>
              <w:top w:val="nil"/>
              <w:left w:val="nil"/>
              <w:bottom w:val="single" w:color="auto" w:sz="4" w:space="0"/>
              <w:right w:val="single" w:color="auto" w:sz="4" w:space="0"/>
            </w:tcBorders>
            <w:shd w:val="clear" w:color="000000" w:fill="DDEBF7"/>
            <w:noWrap/>
            <w:vAlign w:val="bottom"/>
          </w:tcPr>
          <w:p w14:paraId="0E626969">
            <w:pPr>
              <w:widowControl/>
              <w:spacing w:line="300" w:lineRule="auto"/>
              <w:jc w:val="righ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88.21%</w:t>
            </w:r>
          </w:p>
        </w:tc>
      </w:tr>
      <w:tr w14:paraId="30DED195">
        <w:tblPrEx>
          <w:tblCellMar>
            <w:top w:w="0" w:type="dxa"/>
            <w:left w:w="108" w:type="dxa"/>
            <w:bottom w:w="0" w:type="dxa"/>
            <w:right w:w="108" w:type="dxa"/>
          </w:tblCellMar>
        </w:tblPrEx>
        <w:trPr>
          <w:trHeight w:val="257" w:hRule="atLeast"/>
          <w:jc w:val="center"/>
        </w:trPr>
        <w:tc>
          <w:tcPr>
            <w:tcW w:w="3231" w:type="dxa"/>
            <w:tcBorders>
              <w:top w:val="nil"/>
              <w:left w:val="single" w:color="auto" w:sz="4" w:space="0"/>
              <w:bottom w:val="single" w:color="auto" w:sz="4" w:space="0"/>
              <w:right w:val="single" w:color="auto" w:sz="4" w:space="0"/>
            </w:tcBorders>
            <w:shd w:val="clear" w:color="auto" w:fill="auto"/>
            <w:noWrap/>
            <w:vAlign w:val="bottom"/>
          </w:tcPr>
          <w:p w14:paraId="18CCB05A">
            <w:pPr>
              <w:widowControl/>
              <w:spacing w:line="300" w:lineRule="auto"/>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累计取得借款收到的现金</w:t>
            </w:r>
          </w:p>
        </w:tc>
        <w:tc>
          <w:tcPr>
            <w:tcW w:w="1509" w:type="dxa"/>
            <w:tcBorders>
              <w:top w:val="nil"/>
              <w:left w:val="nil"/>
              <w:bottom w:val="single" w:color="auto" w:sz="4" w:space="0"/>
              <w:right w:val="single" w:color="auto" w:sz="4" w:space="0"/>
            </w:tcBorders>
            <w:shd w:val="clear" w:color="auto" w:fill="auto"/>
            <w:noWrap/>
            <w:vAlign w:val="bottom"/>
          </w:tcPr>
          <w:p w14:paraId="7A0C74A0">
            <w:pPr>
              <w:widowControl/>
              <w:spacing w:line="30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105" w:type="dxa"/>
            <w:tcBorders>
              <w:top w:val="nil"/>
              <w:left w:val="nil"/>
              <w:bottom w:val="single" w:color="auto" w:sz="4" w:space="0"/>
              <w:right w:val="single" w:color="auto" w:sz="4" w:space="0"/>
            </w:tcBorders>
            <w:shd w:val="clear" w:color="auto" w:fill="auto"/>
            <w:noWrap/>
            <w:vAlign w:val="bottom"/>
          </w:tcPr>
          <w:p w14:paraId="661F14EE">
            <w:pPr>
              <w:widowControl/>
              <w:spacing w:line="30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634" w:type="dxa"/>
            <w:tcBorders>
              <w:top w:val="nil"/>
              <w:left w:val="nil"/>
              <w:bottom w:val="single" w:color="auto" w:sz="4" w:space="0"/>
              <w:right w:val="single" w:color="auto" w:sz="4" w:space="0"/>
            </w:tcBorders>
            <w:shd w:val="clear" w:color="auto" w:fill="auto"/>
            <w:noWrap/>
            <w:vAlign w:val="bottom"/>
          </w:tcPr>
          <w:p w14:paraId="77559FEB">
            <w:pPr>
              <w:widowControl/>
              <w:spacing w:line="30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10,082,213.44</w:t>
            </w:r>
          </w:p>
        </w:tc>
        <w:tc>
          <w:tcPr>
            <w:tcW w:w="1105" w:type="dxa"/>
            <w:tcBorders>
              <w:top w:val="nil"/>
              <w:left w:val="nil"/>
              <w:bottom w:val="single" w:color="auto" w:sz="4" w:space="0"/>
              <w:right w:val="single" w:color="auto" w:sz="4" w:space="0"/>
            </w:tcBorders>
            <w:shd w:val="clear" w:color="auto" w:fill="auto"/>
            <w:noWrap/>
            <w:vAlign w:val="bottom"/>
          </w:tcPr>
          <w:p w14:paraId="1A9EBF05">
            <w:pPr>
              <w:widowControl/>
              <w:spacing w:line="30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88.21%</w:t>
            </w:r>
          </w:p>
        </w:tc>
      </w:tr>
    </w:tbl>
    <w:p w14:paraId="1D62905A">
      <w:pPr>
        <w:pStyle w:val="7"/>
        <w:rPr>
          <w:rFonts w:ascii="宋体" w:hAnsi="宋体"/>
          <w:szCs w:val="21"/>
        </w:rPr>
      </w:pPr>
    </w:p>
    <w:p w14:paraId="7F7694D9">
      <w:pPr>
        <w:pStyle w:val="7"/>
        <w:numPr>
          <w:ilvl w:val="0"/>
          <w:numId w:val="1"/>
        </w:numPr>
        <w:ind w:firstLineChars="0"/>
        <w:rPr>
          <w:rFonts w:ascii="宋体" w:hAnsi="宋体"/>
          <w:b/>
          <w:szCs w:val="21"/>
        </w:rPr>
      </w:pPr>
      <w:r>
        <w:rPr>
          <w:rFonts w:hint="eastAsia" w:ascii="宋体" w:hAnsi="宋体"/>
          <w:b/>
          <w:szCs w:val="21"/>
        </w:rPr>
        <w:t>彩云城投负债指标</w:t>
      </w:r>
    </w:p>
    <w:p w14:paraId="275F00F9">
      <w:pPr>
        <w:spacing w:line="300" w:lineRule="auto"/>
        <w:jc w:val="both"/>
        <w:rPr>
          <w:rFonts w:ascii="宋体" w:hAnsi="宋体" w:eastAsia="宋体"/>
          <w:szCs w:val="21"/>
        </w:rPr>
      </w:pPr>
      <w:r>
        <w:rPr>
          <w:rFonts w:ascii="宋体" w:hAnsi="宋体" w:eastAsia="宋体"/>
          <w:szCs w:val="21"/>
        </w:rPr>
        <w:drawing>
          <wp:inline distT="0" distB="0" distL="0" distR="0">
            <wp:extent cx="5757545" cy="197040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5757545" cy="1970405"/>
                    </a:xfrm>
                    <a:prstGeom prst="rect">
                      <a:avLst/>
                    </a:prstGeom>
                    <a:noFill/>
                    <a:ln>
                      <a:noFill/>
                    </a:ln>
                  </pic:spPr>
                </pic:pic>
              </a:graphicData>
            </a:graphic>
          </wp:inline>
        </w:drawing>
      </w:r>
    </w:p>
    <w:p w14:paraId="6CA4AA45">
      <w:pPr>
        <w:spacing w:line="30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彩云城投2</w:t>
      </w:r>
      <w:r>
        <w:rPr>
          <w:rFonts w:ascii="宋体" w:hAnsi="宋体" w:eastAsia="宋体" w:cs="宋体"/>
          <w:kern w:val="0"/>
          <w:sz w:val="24"/>
          <w:szCs w:val="24"/>
        </w:rPr>
        <w:t>014</w:t>
      </w:r>
      <w:r>
        <w:rPr>
          <w:rFonts w:hint="eastAsia" w:ascii="宋体" w:hAnsi="宋体" w:eastAsia="宋体" w:cs="宋体"/>
          <w:kern w:val="0"/>
          <w:sz w:val="24"/>
          <w:szCs w:val="24"/>
        </w:rPr>
        <w:t>年开始，一直处于一个高速发展中，其总资产从2</w:t>
      </w:r>
      <w:r>
        <w:rPr>
          <w:rFonts w:ascii="宋体" w:hAnsi="宋体" w:eastAsia="宋体" w:cs="宋体"/>
          <w:kern w:val="0"/>
          <w:sz w:val="24"/>
          <w:szCs w:val="24"/>
        </w:rPr>
        <w:t>014</w:t>
      </w:r>
      <w:r>
        <w:rPr>
          <w:rFonts w:hint="eastAsia" w:ascii="宋体" w:hAnsi="宋体" w:eastAsia="宋体" w:cs="宋体"/>
          <w:kern w:val="0"/>
          <w:sz w:val="24"/>
          <w:szCs w:val="24"/>
        </w:rPr>
        <w:t>年的2</w:t>
      </w:r>
      <w:r>
        <w:rPr>
          <w:rFonts w:ascii="宋体" w:hAnsi="宋体" w:eastAsia="宋体" w:cs="宋体"/>
          <w:kern w:val="0"/>
          <w:sz w:val="24"/>
          <w:szCs w:val="24"/>
        </w:rPr>
        <w:t>78.27</w:t>
      </w:r>
      <w:r>
        <w:rPr>
          <w:rFonts w:hint="eastAsia" w:ascii="宋体" w:hAnsi="宋体" w:eastAsia="宋体" w:cs="宋体"/>
          <w:kern w:val="0"/>
          <w:sz w:val="24"/>
          <w:szCs w:val="24"/>
        </w:rPr>
        <w:t>亿元，暴涨到2</w:t>
      </w:r>
      <w:r>
        <w:rPr>
          <w:rFonts w:ascii="宋体" w:hAnsi="宋体" w:eastAsia="宋体" w:cs="宋体"/>
          <w:kern w:val="0"/>
          <w:sz w:val="24"/>
          <w:szCs w:val="24"/>
        </w:rPr>
        <w:t>016</w:t>
      </w:r>
      <w:r>
        <w:rPr>
          <w:rFonts w:hint="eastAsia" w:ascii="宋体" w:hAnsi="宋体" w:eastAsia="宋体" w:cs="宋体"/>
          <w:kern w:val="0"/>
          <w:sz w:val="24"/>
          <w:szCs w:val="24"/>
        </w:rPr>
        <w:t>年的5</w:t>
      </w:r>
      <w:r>
        <w:rPr>
          <w:rFonts w:ascii="宋体" w:hAnsi="宋体" w:eastAsia="宋体" w:cs="宋体"/>
          <w:kern w:val="0"/>
          <w:sz w:val="24"/>
          <w:szCs w:val="24"/>
        </w:rPr>
        <w:t>01.33</w:t>
      </w:r>
      <w:r>
        <w:rPr>
          <w:rFonts w:hint="eastAsia" w:ascii="宋体" w:hAnsi="宋体" w:eastAsia="宋体" w:cs="宋体"/>
          <w:kern w:val="0"/>
          <w:sz w:val="24"/>
          <w:szCs w:val="24"/>
        </w:rPr>
        <w:t>亿元，在不到两年的时间里几乎翻倍。</w:t>
      </w:r>
    </w:p>
    <w:p w14:paraId="08A7A603">
      <w:pPr>
        <w:spacing w:line="300" w:lineRule="auto"/>
        <w:jc w:val="center"/>
        <w:rPr>
          <w:rFonts w:ascii="宋体" w:hAnsi="宋体" w:eastAsia="宋体" w:cs="宋体"/>
          <w:kern w:val="0"/>
          <w:szCs w:val="21"/>
        </w:rPr>
      </w:pPr>
      <w:r>
        <w:rPr>
          <w:rFonts w:ascii="宋体" w:hAnsi="宋体" w:eastAsia="宋体"/>
          <w:szCs w:val="21"/>
        </w:rPr>
        <w:drawing>
          <wp:inline distT="0" distB="0" distL="0" distR="0">
            <wp:extent cx="4430395" cy="1598930"/>
            <wp:effectExtent l="0" t="0" r="8255"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4430395" cy="1598930"/>
                    </a:xfrm>
                    <a:prstGeom prst="rect">
                      <a:avLst/>
                    </a:prstGeom>
                    <a:noFill/>
                    <a:ln>
                      <a:noFill/>
                    </a:ln>
                  </pic:spPr>
                </pic:pic>
              </a:graphicData>
            </a:graphic>
          </wp:inline>
        </w:drawing>
      </w:r>
    </w:p>
    <w:p w14:paraId="10305FCB">
      <w:pPr>
        <w:spacing w:line="300" w:lineRule="auto"/>
        <w:ind w:firstLine="480" w:firstLineChars="200"/>
        <w:rPr>
          <w:rFonts w:ascii="宋体" w:hAnsi="宋体" w:eastAsia="宋体"/>
          <w:sz w:val="24"/>
          <w:szCs w:val="24"/>
        </w:rPr>
      </w:pPr>
      <w:r>
        <w:rPr>
          <w:rFonts w:hint="eastAsia" w:ascii="宋体" w:hAnsi="宋体" w:eastAsia="宋体"/>
          <w:sz w:val="24"/>
          <w:szCs w:val="24"/>
        </w:rPr>
        <w:t>彩云城投目前的营业收入以住宅销售为主，办公楼、商铺、酒店的营业收入在稳步提升。</w:t>
      </w:r>
    </w:p>
    <w:p w14:paraId="47CBF886">
      <w:pPr>
        <w:spacing w:line="300" w:lineRule="auto"/>
        <w:ind w:firstLine="480" w:firstLineChars="200"/>
        <w:rPr>
          <w:rFonts w:ascii="宋体" w:hAnsi="宋体" w:eastAsia="宋体"/>
          <w:sz w:val="24"/>
          <w:szCs w:val="24"/>
        </w:rPr>
      </w:pPr>
      <w:r>
        <w:rPr>
          <w:rFonts w:hint="eastAsia" w:ascii="宋体" w:hAnsi="宋体" w:eastAsia="宋体"/>
          <w:sz w:val="24"/>
          <w:szCs w:val="24"/>
        </w:rPr>
        <w:t>投资的不断加大给彩云城投带来了隐忧，其</w:t>
      </w:r>
      <w:r>
        <w:rPr>
          <w:rFonts w:ascii="宋体" w:hAnsi="宋体" w:eastAsia="宋体"/>
          <w:sz w:val="24"/>
          <w:szCs w:val="24"/>
        </w:rPr>
        <w:t>2015年和2016年的资产负债率分别为87.64%和89.22%，远超业内平均水平。而且，近年经营现金流的情况也难言乐观。2015年经营活动产生的现金流量净额为-12亿元，2016年为-19亿元。</w:t>
      </w:r>
    </w:p>
    <w:p w14:paraId="14277059">
      <w:pPr>
        <w:spacing w:line="300" w:lineRule="auto"/>
        <w:ind w:firstLine="420" w:firstLineChars="200"/>
        <w:rPr>
          <w:rFonts w:ascii="宋体" w:hAnsi="宋体" w:eastAsia="宋体"/>
          <w:szCs w:val="21"/>
        </w:rPr>
      </w:pPr>
    </w:p>
    <w:tbl>
      <w:tblPr>
        <w:tblStyle w:val="5"/>
        <w:tblW w:w="7996" w:type="dxa"/>
        <w:jc w:val="center"/>
        <w:tblLayout w:type="autofit"/>
        <w:tblCellMar>
          <w:top w:w="0" w:type="dxa"/>
          <w:left w:w="108" w:type="dxa"/>
          <w:bottom w:w="0" w:type="dxa"/>
          <w:right w:w="108" w:type="dxa"/>
        </w:tblCellMar>
      </w:tblPr>
      <w:tblGrid>
        <w:gridCol w:w="1516"/>
        <w:gridCol w:w="1080"/>
        <w:gridCol w:w="1080"/>
        <w:gridCol w:w="1080"/>
        <w:gridCol w:w="1080"/>
        <w:gridCol w:w="1080"/>
        <w:gridCol w:w="1080"/>
      </w:tblGrid>
      <w:tr w14:paraId="79E2AC5D">
        <w:tblPrEx>
          <w:tblCellMar>
            <w:top w:w="0" w:type="dxa"/>
            <w:left w:w="108" w:type="dxa"/>
            <w:bottom w:w="0" w:type="dxa"/>
            <w:right w:w="108" w:type="dxa"/>
          </w:tblCellMar>
        </w:tblPrEx>
        <w:trPr>
          <w:trHeight w:val="300" w:hRule="atLeast"/>
          <w:jc w:val="center"/>
        </w:trPr>
        <w:tc>
          <w:tcPr>
            <w:tcW w:w="1516" w:type="dxa"/>
            <w:tcBorders>
              <w:top w:val="nil"/>
              <w:left w:val="single" w:color="AAACBC" w:sz="8" w:space="0"/>
              <w:bottom w:val="single" w:color="AAACBC" w:sz="8" w:space="0"/>
              <w:right w:val="single" w:color="AAACBC" w:sz="8" w:space="0"/>
            </w:tcBorders>
            <w:shd w:val="clear" w:color="000000" w:fill="F7F7F8"/>
            <w:vAlign w:val="center"/>
          </w:tcPr>
          <w:p w14:paraId="08301E8F">
            <w:pPr>
              <w:widowControl/>
              <w:spacing w:line="300" w:lineRule="auto"/>
              <w:jc w:val="left"/>
              <w:rPr>
                <w:rFonts w:ascii="宋体" w:hAnsi="宋体" w:eastAsia="宋体" w:cs="宋体"/>
                <w:b/>
                <w:bCs/>
                <w:color w:val="000000"/>
                <w:kern w:val="0"/>
                <w:sz w:val="15"/>
                <w:szCs w:val="15"/>
              </w:rPr>
            </w:pPr>
            <w:r>
              <w:rPr>
                <w:rFonts w:hint="eastAsia" w:ascii="宋体" w:hAnsi="宋体" w:eastAsia="宋体" w:cs="宋体"/>
                <w:b/>
                <w:bCs/>
                <w:color w:val="000000"/>
                <w:kern w:val="0"/>
                <w:sz w:val="15"/>
                <w:szCs w:val="15"/>
              </w:rPr>
              <w:t>截止日期</w:t>
            </w:r>
          </w:p>
        </w:tc>
        <w:tc>
          <w:tcPr>
            <w:tcW w:w="1080" w:type="dxa"/>
            <w:tcBorders>
              <w:top w:val="nil"/>
              <w:left w:val="single" w:color="CDCDD5" w:sz="8" w:space="0"/>
              <w:bottom w:val="single" w:color="AAACBC" w:sz="8" w:space="0"/>
              <w:right w:val="single" w:color="AAACBC" w:sz="8" w:space="0"/>
            </w:tcBorders>
            <w:shd w:val="clear" w:color="000000" w:fill="F7F7F8"/>
            <w:vAlign w:val="center"/>
          </w:tcPr>
          <w:p w14:paraId="1683D51F">
            <w:pPr>
              <w:widowControl/>
              <w:spacing w:line="300" w:lineRule="auto"/>
              <w:jc w:val="lef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2014</w:t>
            </w:r>
          </w:p>
        </w:tc>
        <w:tc>
          <w:tcPr>
            <w:tcW w:w="1080" w:type="dxa"/>
            <w:tcBorders>
              <w:top w:val="nil"/>
              <w:left w:val="single" w:color="CDCDD5" w:sz="8" w:space="0"/>
              <w:bottom w:val="single" w:color="AAACBC" w:sz="8" w:space="0"/>
              <w:right w:val="single" w:color="AAACBC" w:sz="8" w:space="0"/>
            </w:tcBorders>
            <w:shd w:val="clear" w:color="000000" w:fill="F7F7F8"/>
            <w:vAlign w:val="center"/>
          </w:tcPr>
          <w:p w14:paraId="0817CCA0">
            <w:pPr>
              <w:widowControl/>
              <w:spacing w:line="300" w:lineRule="auto"/>
              <w:jc w:val="lef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2015</w:t>
            </w:r>
          </w:p>
        </w:tc>
        <w:tc>
          <w:tcPr>
            <w:tcW w:w="1080" w:type="dxa"/>
            <w:tcBorders>
              <w:top w:val="nil"/>
              <w:left w:val="single" w:color="CDCDD5" w:sz="8" w:space="0"/>
              <w:bottom w:val="single" w:color="AAACBC" w:sz="8" w:space="0"/>
              <w:right w:val="single" w:color="AAACBC" w:sz="8" w:space="0"/>
            </w:tcBorders>
            <w:shd w:val="clear" w:color="000000" w:fill="F7F7F8"/>
            <w:vAlign w:val="center"/>
          </w:tcPr>
          <w:p w14:paraId="089EEBD4">
            <w:pPr>
              <w:widowControl/>
              <w:spacing w:line="300" w:lineRule="auto"/>
              <w:jc w:val="lef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2016</w:t>
            </w:r>
          </w:p>
        </w:tc>
        <w:tc>
          <w:tcPr>
            <w:tcW w:w="1080" w:type="dxa"/>
            <w:tcBorders>
              <w:top w:val="nil"/>
              <w:left w:val="single" w:color="CDCDD5" w:sz="8" w:space="0"/>
              <w:bottom w:val="single" w:color="AAACBC" w:sz="8" w:space="0"/>
              <w:right w:val="single" w:color="AAACBC" w:sz="8" w:space="0"/>
            </w:tcBorders>
            <w:shd w:val="clear" w:color="000000" w:fill="F7F7F8"/>
            <w:vAlign w:val="center"/>
          </w:tcPr>
          <w:p w14:paraId="2EABF239">
            <w:pPr>
              <w:widowControl/>
              <w:spacing w:line="300" w:lineRule="auto"/>
              <w:jc w:val="lef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2017</w:t>
            </w:r>
          </w:p>
        </w:tc>
        <w:tc>
          <w:tcPr>
            <w:tcW w:w="1080" w:type="dxa"/>
            <w:tcBorders>
              <w:top w:val="nil"/>
              <w:left w:val="single" w:color="CDCDD5" w:sz="8" w:space="0"/>
              <w:bottom w:val="single" w:color="AAACBC" w:sz="8" w:space="0"/>
              <w:right w:val="single" w:color="AAACBC" w:sz="8" w:space="0"/>
            </w:tcBorders>
            <w:shd w:val="clear" w:color="000000" w:fill="F7F7F8"/>
            <w:vAlign w:val="center"/>
          </w:tcPr>
          <w:p w14:paraId="3FB054D1">
            <w:pPr>
              <w:widowControl/>
              <w:spacing w:line="300" w:lineRule="auto"/>
              <w:jc w:val="lef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2018</w:t>
            </w:r>
          </w:p>
        </w:tc>
        <w:tc>
          <w:tcPr>
            <w:tcW w:w="1080" w:type="dxa"/>
            <w:tcBorders>
              <w:top w:val="nil"/>
              <w:left w:val="single" w:color="CDCDD5" w:sz="8" w:space="0"/>
              <w:bottom w:val="single" w:color="AAACBC" w:sz="8" w:space="0"/>
              <w:right w:val="single" w:color="AAACBC" w:sz="8" w:space="0"/>
            </w:tcBorders>
            <w:shd w:val="clear" w:color="000000" w:fill="F7F7F8"/>
            <w:vAlign w:val="center"/>
          </w:tcPr>
          <w:p w14:paraId="76D12C40">
            <w:pPr>
              <w:widowControl/>
              <w:spacing w:line="300" w:lineRule="auto"/>
              <w:jc w:val="lef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2019.9</w:t>
            </w:r>
          </w:p>
        </w:tc>
      </w:tr>
      <w:tr w14:paraId="26641998">
        <w:tblPrEx>
          <w:tblCellMar>
            <w:top w:w="0" w:type="dxa"/>
            <w:left w:w="108" w:type="dxa"/>
            <w:bottom w:w="0" w:type="dxa"/>
            <w:right w:w="108" w:type="dxa"/>
          </w:tblCellMar>
        </w:tblPrEx>
        <w:trPr>
          <w:trHeight w:val="465" w:hRule="atLeast"/>
          <w:jc w:val="center"/>
        </w:trPr>
        <w:tc>
          <w:tcPr>
            <w:tcW w:w="1516" w:type="dxa"/>
            <w:tcBorders>
              <w:top w:val="nil"/>
              <w:left w:val="single" w:color="AAACBC" w:sz="8" w:space="0"/>
              <w:bottom w:val="single" w:color="AAACBC" w:sz="8" w:space="0"/>
              <w:right w:val="single" w:color="AAACBC" w:sz="8" w:space="0"/>
            </w:tcBorders>
            <w:shd w:val="clear" w:color="000000" w:fill="FFFFFF"/>
            <w:vAlign w:val="center"/>
          </w:tcPr>
          <w:p w14:paraId="72BC95BF">
            <w:pPr>
              <w:widowControl/>
              <w:spacing w:line="300" w:lineRule="auto"/>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每股净资产元</w:t>
            </w:r>
          </w:p>
        </w:tc>
        <w:tc>
          <w:tcPr>
            <w:tcW w:w="1080" w:type="dxa"/>
            <w:tcBorders>
              <w:top w:val="nil"/>
              <w:left w:val="single" w:color="CDCDD5" w:sz="8" w:space="0"/>
              <w:bottom w:val="single" w:color="AAACBC" w:sz="8" w:space="0"/>
              <w:right w:val="single" w:color="AAACBC" w:sz="8" w:space="0"/>
            </w:tcBorders>
            <w:shd w:val="clear" w:color="000000" w:fill="F7F7F8"/>
            <w:vAlign w:val="center"/>
          </w:tcPr>
          <w:p w14:paraId="503221F6">
            <w:pPr>
              <w:widowControl/>
              <w:spacing w:line="30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4.89</w:t>
            </w:r>
          </w:p>
        </w:tc>
        <w:tc>
          <w:tcPr>
            <w:tcW w:w="1080" w:type="dxa"/>
            <w:tcBorders>
              <w:top w:val="nil"/>
              <w:left w:val="single" w:color="CDCDD5" w:sz="8" w:space="0"/>
              <w:bottom w:val="single" w:color="AAACBC" w:sz="8" w:space="0"/>
              <w:right w:val="single" w:color="AAACBC" w:sz="8" w:space="0"/>
            </w:tcBorders>
            <w:shd w:val="clear" w:color="000000" w:fill="F7F7F8"/>
            <w:vAlign w:val="center"/>
          </w:tcPr>
          <w:p w14:paraId="15BCA34F">
            <w:pPr>
              <w:widowControl/>
              <w:spacing w:line="30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4.02</w:t>
            </w:r>
          </w:p>
        </w:tc>
        <w:tc>
          <w:tcPr>
            <w:tcW w:w="1080" w:type="dxa"/>
            <w:tcBorders>
              <w:top w:val="nil"/>
              <w:left w:val="single" w:color="CDCDD5" w:sz="8" w:space="0"/>
              <w:bottom w:val="single" w:color="AAACBC" w:sz="8" w:space="0"/>
              <w:right w:val="single" w:color="AAACBC" w:sz="8" w:space="0"/>
            </w:tcBorders>
            <w:shd w:val="clear" w:color="000000" w:fill="F7F7F8"/>
            <w:vAlign w:val="center"/>
          </w:tcPr>
          <w:p w14:paraId="0DD3FF1B">
            <w:pPr>
              <w:widowControl/>
              <w:spacing w:line="30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4.32</w:t>
            </w:r>
          </w:p>
        </w:tc>
        <w:tc>
          <w:tcPr>
            <w:tcW w:w="1080" w:type="dxa"/>
            <w:tcBorders>
              <w:top w:val="nil"/>
              <w:left w:val="single" w:color="CDCDD5" w:sz="8" w:space="0"/>
              <w:bottom w:val="single" w:color="AAACBC" w:sz="8" w:space="0"/>
              <w:right w:val="single" w:color="AAACBC" w:sz="8" w:space="0"/>
            </w:tcBorders>
            <w:shd w:val="clear" w:color="000000" w:fill="F7F7F8"/>
            <w:vAlign w:val="center"/>
          </w:tcPr>
          <w:p w14:paraId="7AF92716">
            <w:pPr>
              <w:widowControl/>
              <w:spacing w:line="30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2.98</w:t>
            </w:r>
          </w:p>
        </w:tc>
        <w:tc>
          <w:tcPr>
            <w:tcW w:w="1080" w:type="dxa"/>
            <w:tcBorders>
              <w:top w:val="nil"/>
              <w:left w:val="single" w:color="CDCDD5" w:sz="8" w:space="0"/>
              <w:bottom w:val="single" w:color="AAACBC" w:sz="8" w:space="0"/>
              <w:right w:val="single" w:color="AAACBC" w:sz="8" w:space="0"/>
            </w:tcBorders>
            <w:shd w:val="clear" w:color="000000" w:fill="F7F7F8"/>
            <w:vAlign w:val="center"/>
          </w:tcPr>
          <w:p w14:paraId="284882C5">
            <w:pPr>
              <w:widowControl/>
              <w:spacing w:line="30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3.2</w:t>
            </w:r>
          </w:p>
        </w:tc>
        <w:tc>
          <w:tcPr>
            <w:tcW w:w="1080" w:type="dxa"/>
            <w:tcBorders>
              <w:top w:val="nil"/>
              <w:left w:val="single" w:color="CDCDD5" w:sz="8" w:space="0"/>
              <w:bottom w:val="single" w:color="AAACBC" w:sz="8" w:space="0"/>
              <w:right w:val="single" w:color="AAACBC" w:sz="8" w:space="0"/>
            </w:tcBorders>
            <w:shd w:val="clear" w:color="000000" w:fill="F7F7F8"/>
            <w:vAlign w:val="center"/>
          </w:tcPr>
          <w:p w14:paraId="61135D11">
            <w:pPr>
              <w:widowControl/>
              <w:spacing w:line="300" w:lineRule="auto"/>
              <w:jc w:val="right"/>
              <w:rPr>
                <w:rFonts w:ascii="宋体" w:hAnsi="宋体" w:eastAsia="宋体" w:cs="宋体"/>
                <w:color w:val="000000"/>
                <w:kern w:val="0"/>
                <w:sz w:val="18"/>
                <w:szCs w:val="18"/>
              </w:rPr>
            </w:pPr>
            <w:r>
              <w:fldChar w:fldCharType="begin"/>
            </w:r>
            <w:r>
              <w:instrText xml:space="preserve"> HYPERLINK "http://vip.stock.finance.sina.com.cn/corp/view/vFD_FinanceSummaryHistory.php?stockid=600239&amp;type=mgjzc" \t "_blank" </w:instrText>
            </w:r>
            <w:r>
              <w:fldChar w:fldCharType="separate"/>
            </w:r>
            <w:r>
              <w:rPr>
                <w:rFonts w:hint="eastAsia" w:ascii="宋体" w:hAnsi="宋体" w:eastAsia="宋体" w:cs="宋体"/>
                <w:color w:val="000000"/>
                <w:kern w:val="0"/>
                <w:sz w:val="18"/>
                <w:szCs w:val="18"/>
              </w:rPr>
              <w:t>2.44</w:t>
            </w:r>
            <w:r>
              <w:rPr>
                <w:rFonts w:hint="eastAsia" w:ascii="宋体" w:hAnsi="宋体" w:eastAsia="宋体" w:cs="宋体"/>
                <w:color w:val="000000"/>
                <w:kern w:val="0"/>
                <w:sz w:val="18"/>
                <w:szCs w:val="18"/>
              </w:rPr>
              <w:fldChar w:fldCharType="end"/>
            </w:r>
          </w:p>
        </w:tc>
      </w:tr>
      <w:tr w14:paraId="0F29D466">
        <w:tblPrEx>
          <w:tblCellMar>
            <w:top w:w="0" w:type="dxa"/>
            <w:left w:w="108" w:type="dxa"/>
            <w:bottom w:w="0" w:type="dxa"/>
            <w:right w:w="108" w:type="dxa"/>
          </w:tblCellMar>
        </w:tblPrEx>
        <w:trPr>
          <w:trHeight w:val="300" w:hRule="atLeast"/>
          <w:jc w:val="center"/>
        </w:trPr>
        <w:tc>
          <w:tcPr>
            <w:tcW w:w="1516" w:type="dxa"/>
            <w:tcBorders>
              <w:top w:val="nil"/>
              <w:left w:val="single" w:color="AAACBC" w:sz="8" w:space="0"/>
              <w:bottom w:val="single" w:color="AAACBC" w:sz="8" w:space="0"/>
              <w:right w:val="single" w:color="AAACBC" w:sz="8" w:space="0"/>
            </w:tcBorders>
            <w:shd w:val="clear" w:color="000000" w:fill="F7F7F8"/>
            <w:vAlign w:val="center"/>
          </w:tcPr>
          <w:p w14:paraId="482B1067">
            <w:pPr>
              <w:widowControl/>
              <w:spacing w:line="300" w:lineRule="auto"/>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每股收益元</w:t>
            </w:r>
          </w:p>
        </w:tc>
        <w:tc>
          <w:tcPr>
            <w:tcW w:w="1080" w:type="dxa"/>
            <w:tcBorders>
              <w:top w:val="nil"/>
              <w:left w:val="single" w:color="CDCDD5" w:sz="8" w:space="0"/>
              <w:bottom w:val="single" w:color="AAACBC" w:sz="8" w:space="0"/>
              <w:right w:val="single" w:color="AAACBC" w:sz="8" w:space="0"/>
            </w:tcBorders>
            <w:shd w:val="clear" w:color="000000" w:fill="F7F7F8"/>
            <w:vAlign w:val="center"/>
          </w:tcPr>
          <w:p w14:paraId="5D934EB7">
            <w:pPr>
              <w:widowControl/>
              <w:spacing w:line="30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0.5352</w:t>
            </w:r>
          </w:p>
        </w:tc>
        <w:tc>
          <w:tcPr>
            <w:tcW w:w="1080" w:type="dxa"/>
            <w:tcBorders>
              <w:top w:val="nil"/>
              <w:left w:val="single" w:color="CDCDD5" w:sz="8" w:space="0"/>
              <w:bottom w:val="single" w:color="AAACBC" w:sz="8" w:space="0"/>
              <w:right w:val="single" w:color="AAACBC" w:sz="8" w:space="0"/>
            </w:tcBorders>
            <w:shd w:val="clear" w:color="000000" w:fill="F7F7F8"/>
            <w:vAlign w:val="center"/>
          </w:tcPr>
          <w:p w14:paraId="435C1A0A">
            <w:pPr>
              <w:widowControl/>
              <w:spacing w:line="30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0.2603</w:t>
            </w:r>
          </w:p>
        </w:tc>
        <w:tc>
          <w:tcPr>
            <w:tcW w:w="1080" w:type="dxa"/>
            <w:tcBorders>
              <w:top w:val="nil"/>
              <w:left w:val="single" w:color="CDCDD5" w:sz="8" w:space="0"/>
              <w:bottom w:val="single" w:color="AAACBC" w:sz="8" w:space="0"/>
              <w:right w:val="single" w:color="AAACBC" w:sz="8" w:space="0"/>
            </w:tcBorders>
            <w:shd w:val="clear" w:color="000000" w:fill="F7F7F8"/>
            <w:vAlign w:val="center"/>
          </w:tcPr>
          <w:p w14:paraId="4E546FC0">
            <w:pPr>
              <w:widowControl/>
              <w:spacing w:line="30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0.2281</w:t>
            </w:r>
          </w:p>
        </w:tc>
        <w:tc>
          <w:tcPr>
            <w:tcW w:w="1080" w:type="dxa"/>
            <w:tcBorders>
              <w:top w:val="nil"/>
              <w:left w:val="single" w:color="CDCDD5" w:sz="8" w:space="0"/>
              <w:bottom w:val="single" w:color="AAACBC" w:sz="8" w:space="0"/>
              <w:right w:val="single" w:color="AAACBC" w:sz="8" w:space="0"/>
            </w:tcBorders>
            <w:shd w:val="clear" w:color="000000" w:fill="F7F7F8"/>
            <w:vAlign w:val="center"/>
          </w:tcPr>
          <w:p w14:paraId="067B2387">
            <w:pPr>
              <w:widowControl/>
              <w:spacing w:line="30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0.1644</w:t>
            </w:r>
          </w:p>
        </w:tc>
        <w:tc>
          <w:tcPr>
            <w:tcW w:w="1080" w:type="dxa"/>
            <w:tcBorders>
              <w:top w:val="nil"/>
              <w:left w:val="single" w:color="CDCDD5" w:sz="8" w:space="0"/>
              <w:bottom w:val="single" w:color="AAACBC" w:sz="8" w:space="0"/>
              <w:right w:val="single" w:color="AAACBC" w:sz="8" w:space="0"/>
            </w:tcBorders>
            <w:shd w:val="clear" w:color="000000" w:fill="F7F7F8"/>
            <w:vAlign w:val="center"/>
          </w:tcPr>
          <w:p w14:paraId="537A3A32">
            <w:pPr>
              <w:widowControl/>
              <w:spacing w:line="30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0.306</w:t>
            </w:r>
          </w:p>
        </w:tc>
        <w:tc>
          <w:tcPr>
            <w:tcW w:w="1080" w:type="dxa"/>
            <w:tcBorders>
              <w:top w:val="nil"/>
              <w:left w:val="single" w:color="CDCDD5" w:sz="8" w:space="0"/>
              <w:bottom w:val="single" w:color="AAACBC" w:sz="8" w:space="0"/>
              <w:right w:val="single" w:color="AAACBC" w:sz="8" w:space="0"/>
            </w:tcBorders>
            <w:shd w:val="clear" w:color="000000" w:fill="F7F7F8"/>
            <w:vAlign w:val="center"/>
          </w:tcPr>
          <w:p w14:paraId="63C5CCDB">
            <w:pPr>
              <w:widowControl/>
              <w:spacing w:line="300" w:lineRule="auto"/>
              <w:jc w:val="right"/>
              <w:rPr>
                <w:rFonts w:ascii="宋体" w:hAnsi="宋体" w:eastAsia="宋体" w:cs="宋体"/>
                <w:color w:val="000000"/>
                <w:kern w:val="0"/>
                <w:sz w:val="18"/>
                <w:szCs w:val="18"/>
              </w:rPr>
            </w:pPr>
            <w:r>
              <w:fldChar w:fldCharType="begin"/>
            </w:r>
            <w:r>
              <w:instrText xml:space="preserve"> HYPERLINK "http://vip.stock.finance.sina.com.cn/corp/view/vFD_FinanceSummaryHistory.php?stockid=600239&amp;type=mgsy" \t "_blank" </w:instrText>
            </w:r>
            <w:r>
              <w:fldChar w:fldCharType="separate"/>
            </w:r>
            <w:r>
              <w:rPr>
                <w:rFonts w:hint="eastAsia" w:ascii="宋体" w:hAnsi="宋体" w:eastAsia="宋体" w:cs="宋体"/>
                <w:color w:val="000000"/>
                <w:kern w:val="0"/>
                <w:sz w:val="18"/>
                <w:szCs w:val="18"/>
              </w:rPr>
              <w:t>-0.662</w:t>
            </w:r>
            <w:r>
              <w:rPr>
                <w:rFonts w:hint="eastAsia" w:ascii="宋体" w:hAnsi="宋体" w:eastAsia="宋体" w:cs="宋体"/>
                <w:color w:val="000000"/>
                <w:kern w:val="0"/>
                <w:sz w:val="18"/>
                <w:szCs w:val="18"/>
              </w:rPr>
              <w:fldChar w:fldCharType="end"/>
            </w:r>
          </w:p>
        </w:tc>
      </w:tr>
      <w:tr w14:paraId="1D61EF7B">
        <w:tblPrEx>
          <w:tblCellMar>
            <w:top w:w="0" w:type="dxa"/>
            <w:left w:w="108" w:type="dxa"/>
            <w:bottom w:w="0" w:type="dxa"/>
            <w:right w:w="108" w:type="dxa"/>
          </w:tblCellMar>
        </w:tblPrEx>
        <w:trPr>
          <w:trHeight w:val="465" w:hRule="atLeast"/>
          <w:jc w:val="center"/>
        </w:trPr>
        <w:tc>
          <w:tcPr>
            <w:tcW w:w="1516" w:type="dxa"/>
            <w:tcBorders>
              <w:top w:val="nil"/>
              <w:left w:val="single" w:color="AAACBC" w:sz="8" w:space="0"/>
              <w:bottom w:val="single" w:color="AAACBC" w:sz="8" w:space="0"/>
              <w:right w:val="single" w:color="AAACBC" w:sz="8" w:space="0"/>
            </w:tcBorders>
            <w:shd w:val="clear" w:color="000000" w:fill="FFFFFF"/>
            <w:vAlign w:val="center"/>
          </w:tcPr>
          <w:p w14:paraId="69E61116">
            <w:pPr>
              <w:widowControl/>
              <w:spacing w:line="300" w:lineRule="auto"/>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每股现金含量元</w:t>
            </w:r>
          </w:p>
        </w:tc>
        <w:tc>
          <w:tcPr>
            <w:tcW w:w="1080" w:type="dxa"/>
            <w:tcBorders>
              <w:top w:val="nil"/>
              <w:left w:val="single" w:color="CDCDD5" w:sz="8" w:space="0"/>
              <w:bottom w:val="single" w:color="AAACBC" w:sz="8" w:space="0"/>
              <w:right w:val="single" w:color="AAACBC" w:sz="8" w:space="0"/>
            </w:tcBorders>
            <w:shd w:val="clear" w:color="000000" w:fill="F7F7F8"/>
            <w:vAlign w:val="center"/>
          </w:tcPr>
          <w:p w14:paraId="380625AE">
            <w:pPr>
              <w:widowControl/>
              <w:spacing w:line="30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-3.1171</w:t>
            </w:r>
          </w:p>
        </w:tc>
        <w:tc>
          <w:tcPr>
            <w:tcW w:w="1080" w:type="dxa"/>
            <w:tcBorders>
              <w:top w:val="nil"/>
              <w:left w:val="single" w:color="CDCDD5" w:sz="8" w:space="0"/>
              <w:bottom w:val="single" w:color="AAACBC" w:sz="8" w:space="0"/>
              <w:right w:val="single" w:color="AAACBC" w:sz="8" w:space="0"/>
            </w:tcBorders>
            <w:shd w:val="clear" w:color="000000" w:fill="F7F7F8"/>
            <w:vAlign w:val="center"/>
          </w:tcPr>
          <w:p w14:paraId="372A98F8">
            <w:pPr>
              <w:widowControl/>
              <w:spacing w:line="30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-1.1263</w:t>
            </w:r>
          </w:p>
        </w:tc>
        <w:tc>
          <w:tcPr>
            <w:tcW w:w="1080" w:type="dxa"/>
            <w:tcBorders>
              <w:top w:val="nil"/>
              <w:left w:val="single" w:color="CDCDD5" w:sz="8" w:space="0"/>
              <w:bottom w:val="single" w:color="AAACBC" w:sz="8" w:space="0"/>
              <w:right w:val="single" w:color="AAACBC" w:sz="8" w:space="0"/>
            </w:tcBorders>
            <w:shd w:val="clear" w:color="000000" w:fill="F7F7F8"/>
            <w:vAlign w:val="center"/>
          </w:tcPr>
          <w:p w14:paraId="0A162792">
            <w:pPr>
              <w:widowControl/>
              <w:spacing w:line="30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-1.8075</w:t>
            </w:r>
          </w:p>
        </w:tc>
        <w:tc>
          <w:tcPr>
            <w:tcW w:w="1080" w:type="dxa"/>
            <w:tcBorders>
              <w:top w:val="nil"/>
              <w:left w:val="single" w:color="CDCDD5" w:sz="8" w:space="0"/>
              <w:bottom w:val="single" w:color="AAACBC" w:sz="8" w:space="0"/>
              <w:right w:val="single" w:color="AAACBC" w:sz="8" w:space="0"/>
            </w:tcBorders>
            <w:shd w:val="clear" w:color="000000" w:fill="F7F7F8"/>
            <w:vAlign w:val="center"/>
          </w:tcPr>
          <w:p w14:paraId="5E6868BA">
            <w:pPr>
              <w:widowControl/>
              <w:spacing w:line="30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2.2846</w:t>
            </w:r>
          </w:p>
        </w:tc>
        <w:tc>
          <w:tcPr>
            <w:tcW w:w="1080" w:type="dxa"/>
            <w:tcBorders>
              <w:top w:val="nil"/>
              <w:left w:val="single" w:color="CDCDD5" w:sz="8" w:space="0"/>
              <w:bottom w:val="single" w:color="AAACBC" w:sz="8" w:space="0"/>
              <w:right w:val="single" w:color="AAACBC" w:sz="8" w:space="0"/>
            </w:tcBorders>
            <w:shd w:val="clear" w:color="000000" w:fill="F7F7F8"/>
            <w:vAlign w:val="center"/>
          </w:tcPr>
          <w:p w14:paraId="38BD1AE7">
            <w:pPr>
              <w:widowControl/>
              <w:spacing w:line="30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-1.3967</w:t>
            </w:r>
          </w:p>
        </w:tc>
        <w:tc>
          <w:tcPr>
            <w:tcW w:w="1080" w:type="dxa"/>
            <w:tcBorders>
              <w:top w:val="nil"/>
              <w:left w:val="single" w:color="CDCDD5" w:sz="8" w:space="0"/>
              <w:bottom w:val="single" w:color="AAACBC" w:sz="8" w:space="0"/>
              <w:right w:val="single" w:color="AAACBC" w:sz="8" w:space="0"/>
            </w:tcBorders>
            <w:shd w:val="clear" w:color="000000" w:fill="F7F7F8"/>
            <w:vAlign w:val="center"/>
          </w:tcPr>
          <w:p w14:paraId="4B030769">
            <w:pPr>
              <w:widowControl/>
              <w:spacing w:line="300" w:lineRule="auto"/>
              <w:jc w:val="right"/>
              <w:rPr>
                <w:rFonts w:ascii="宋体" w:hAnsi="宋体" w:eastAsia="宋体" w:cs="宋体"/>
                <w:color w:val="000000"/>
                <w:kern w:val="0"/>
                <w:sz w:val="18"/>
                <w:szCs w:val="18"/>
              </w:rPr>
            </w:pPr>
            <w:r>
              <w:fldChar w:fldCharType="begin"/>
            </w:r>
            <w:r>
              <w:instrText xml:space="preserve"> HYPERLINK "http://vip.stock.finance.sina.com.cn/corp/view/vFD_FinanceSummaryHistory.php?stockid=600239&amp;type=mgxjhl" \t "_blank" </w:instrText>
            </w:r>
            <w:r>
              <w:fldChar w:fldCharType="separate"/>
            </w:r>
            <w:r>
              <w:rPr>
                <w:rFonts w:hint="eastAsia" w:ascii="宋体" w:hAnsi="宋体" w:eastAsia="宋体" w:cs="宋体"/>
                <w:color w:val="000000"/>
                <w:kern w:val="0"/>
                <w:sz w:val="18"/>
                <w:szCs w:val="18"/>
              </w:rPr>
              <w:t>-0.5916</w:t>
            </w:r>
            <w:r>
              <w:rPr>
                <w:rFonts w:hint="eastAsia" w:ascii="宋体" w:hAnsi="宋体" w:eastAsia="宋体" w:cs="宋体"/>
                <w:color w:val="000000"/>
                <w:kern w:val="0"/>
                <w:sz w:val="18"/>
                <w:szCs w:val="18"/>
              </w:rPr>
              <w:fldChar w:fldCharType="end"/>
            </w:r>
          </w:p>
        </w:tc>
      </w:tr>
      <w:tr w14:paraId="27583231">
        <w:tblPrEx>
          <w:tblCellMar>
            <w:top w:w="0" w:type="dxa"/>
            <w:left w:w="108" w:type="dxa"/>
            <w:bottom w:w="0" w:type="dxa"/>
            <w:right w:w="108" w:type="dxa"/>
          </w:tblCellMar>
        </w:tblPrEx>
        <w:trPr>
          <w:trHeight w:val="465" w:hRule="atLeast"/>
          <w:jc w:val="center"/>
        </w:trPr>
        <w:tc>
          <w:tcPr>
            <w:tcW w:w="1516" w:type="dxa"/>
            <w:tcBorders>
              <w:top w:val="nil"/>
              <w:left w:val="single" w:color="AAACBC" w:sz="8" w:space="0"/>
              <w:bottom w:val="single" w:color="AAACBC" w:sz="8" w:space="0"/>
              <w:right w:val="single" w:color="AAACBC" w:sz="8" w:space="0"/>
            </w:tcBorders>
            <w:shd w:val="clear" w:color="000000" w:fill="F7F7F8"/>
            <w:vAlign w:val="center"/>
          </w:tcPr>
          <w:p w14:paraId="5540631C">
            <w:pPr>
              <w:widowControl/>
              <w:spacing w:line="300" w:lineRule="auto"/>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每股资本公积金</w:t>
            </w:r>
          </w:p>
        </w:tc>
        <w:tc>
          <w:tcPr>
            <w:tcW w:w="1080" w:type="dxa"/>
            <w:tcBorders>
              <w:top w:val="nil"/>
              <w:left w:val="single" w:color="CDCDD5" w:sz="8" w:space="0"/>
              <w:bottom w:val="single" w:color="AAACBC" w:sz="8" w:space="0"/>
              <w:right w:val="single" w:color="AAACBC" w:sz="8" w:space="0"/>
            </w:tcBorders>
            <w:shd w:val="clear" w:color="000000" w:fill="F7F7F8"/>
            <w:vAlign w:val="center"/>
          </w:tcPr>
          <w:p w14:paraId="7C1EA514">
            <w:pPr>
              <w:widowControl/>
              <w:spacing w:line="30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2.2666</w:t>
            </w:r>
          </w:p>
        </w:tc>
        <w:tc>
          <w:tcPr>
            <w:tcW w:w="1080" w:type="dxa"/>
            <w:tcBorders>
              <w:top w:val="nil"/>
              <w:left w:val="single" w:color="CDCDD5" w:sz="8" w:space="0"/>
              <w:bottom w:val="single" w:color="AAACBC" w:sz="8" w:space="0"/>
              <w:right w:val="single" w:color="AAACBC" w:sz="8" w:space="0"/>
            </w:tcBorders>
            <w:shd w:val="clear" w:color="000000" w:fill="F7F7F8"/>
            <w:vAlign w:val="center"/>
          </w:tcPr>
          <w:p w14:paraId="1EFF9766">
            <w:pPr>
              <w:widowControl/>
              <w:spacing w:line="30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1.7149</w:t>
            </w:r>
          </w:p>
        </w:tc>
        <w:tc>
          <w:tcPr>
            <w:tcW w:w="1080" w:type="dxa"/>
            <w:tcBorders>
              <w:top w:val="nil"/>
              <w:left w:val="single" w:color="CDCDD5" w:sz="8" w:space="0"/>
              <w:bottom w:val="single" w:color="AAACBC" w:sz="8" w:space="0"/>
              <w:right w:val="single" w:color="AAACBC" w:sz="8" w:space="0"/>
            </w:tcBorders>
            <w:shd w:val="clear" w:color="000000" w:fill="F7F7F8"/>
            <w:vAlign w:val="center"/>
          </w:tcPr>
          <w:p w14:paraId="182F1391">
            <w:pPr>
              <w:widowControl/>
              <w:spacing w:line="30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1.7955</w:t>
            </w:r>
          </w:p>
        </w:tc>
        <w:tc>
          <w:tcPr>
            <w:tcW w:w="1080" w:type="dxa"/>
            <w:tcBorders>
              <w:top w:val="nil"/>
              <w:left w:val="single" w:color="CDCDD5" w:sz="8" w:space="0"/>
              <w:bottom w:val="single" w:color="AAACBC" w:sz="8" w:space="0"/>
              <w:right w:val="single" w:color="AAACBC" w:sz="8" w:space="0"/>
            </w:tcBorders>
            <w:shd w:val="clear" w:color="000000" w:fill="F7F7F8"/>
            <w:vAlign w:val="center"/>
          </w:tcPr>
          <w:p w14:paraId="67CAE365">
            <w:pPr>
              <w:widowControl/>
              <w:spacing w:line="30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0.8636</w:t>
            </w:r>
          </w:p>
        </w:tc>
        <w:tc>
          <w:tcPr>
            <w:tcW w:w="1080" w:type="dxa"/>
            <w:tcBorders>
              <w:top w:val="nil"/>
              <w:left w:val="single" w:color="CDCDD5" w:sz="8" w:space="0"/>
              <w:bottom w:val="single" w:color="AAACBC" w:sz="8" w:space="0"/>
              <w:right w:val="single" w:color="AAACBC" w:sz="8" w:space="0"/>
            </w:tcBorders>
            <w:shd w:val="clear" w:color="000000" w:fill="F7F7F8"/>
            <w:vAlign w:val="center"/>
          </w:tcPr>
          <w:p w14:paraId="1D416606">
            <w:pPr>
              <w:widowControl/>
              <w:spacing w:line="30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0.862</w:t>
            </w:r>
          </w:p>
        </w:tc>
        <w:tc>
          <w:tcPr>
            <w:tcW w:w="1080" w:type="dxa"/>
            <w:tcBorders>
              <w:top w:val="nil"/>
              <w:left w:val="single" w:color="CDCDD5" w:sz="8" w:space="0"/>
              <w:bottom w:val="single" w:color="AAACBC" w:sz="8" w:space="0"/>
              <w:right w:val="single" w:color="AAACBC" w:sz="8" w:space="0"/>
            </w:tcBorders>
            <w:shd w:val="clear" w:color="000000" w:fill="F7F7F8"/>
            <w:vAlign w:val="center"/>
          </w:tcPr>
          <w:p w14:paraId="56CA613C">
            <w:pPr>
              <w:widowControl/>
              <w:spacing w:line="300" w:lineRule="auto"/>
              <w:jc w:val="right"/>
              <w:rPr>
                <w:rFonts w:ascii="宋体" w:hAnsi="宋体" w:eastAsia="宋体" w:cs="宋体"/>
                <w:color w:val="000000"/>
                <w:kern w:val="0"/>
                <w:sz w:val="18"/>
                <w:szCs w:val="18"/>
              </w:rPr>
            </w:pPr>
            <w:r>
              <w:fldChar w:fldCharType="begin"/>
            </w:r>
            <w:r>
              <w:instrText xml:space="preserve"> HYPERLINK "http://vip.stock.finance.sina.com.cn/corp/view/vFD_FinanceSummaryHistory.php?stockid=600239&amp;type=mgzbgjj" \t "_blank" </w:instrText>
            </w:r>
            <w:r>
              <w:fldChar w:fldCharType="separate"/>
            </w:r>
            <w:r>
              <w:rPr>
                <w:rFonts w:hint="eastAsia" w:ascii="宋体" w:hAnsi="宋体" w:eastAsia="宋体" w:cs="宋体"/>
                <w:color w:val="000000"/>
                <w:kern w:val="0"/>
                <w:sz w:val="18"/>
                <w:szCs w:val="18"/>
              </w:rPr>
              <w:t>0.8643</w:t>
            </w:r>
            <w:r>
              <w:rPr>
                <w:rFonts w:hint="eastAsia" w:ascii="宋体" w:hAnsi="宋体" w:eastAsia="宋体" w:cs="宋体"/>
                <w:color w:val="000000"/>
                <w:kern w:val="0"/>
                <w:sz w:val="18"/>
                <w:szCs w:val="18"/>
              </w:rPr>
              <w:fldChar w:fldCharType="end"/>
            </w:r>
          </w:p>
        </w:tc>
      </w:tr>
      <w:tr w14:paraId="173798C7">
        <w:tblPrEx>
          <w:tblCellMar>
            <w:top w:w="0" w:type="dxa"/>
            <w:left w:w="108" w:type="dxa"/>
            <w:bottom w:w="0" w:type="dxa"/>
            <w:right w:w="108" w:type="dxa"/>
          </w:tblCellMar>
        </w:tblPrEx>
        <w:trPr>
          <w:trHeight w:val="465" w:hRule="atLeast"/>
          <w:jc w:val="center"/>
        </w:trPr>
        <w:tc>
          <w:tcPr>
            <w:tcW w:w="1516" w:type="dxa"/>
            <w:tcBorders>
              <w:top w:val="nil"/>
              <w:left w:val="single" w:color="AAACBC" w:sz="8" w:space="0"/>
              <w:bottom w:val="single" w:color="AAACBC" w:sz="8" w:space="0"/>
              <w:right w:val="single" w:color="AAACBC" w:sz="8" w:space="0"/>
            </w:tcBorders>
            <w:shd w:val="clear" w:color="000000" w:fill="F7F7F8"/>
            <w:vAlign w:val="center"/>
          </w:tcPr>
          <w:p w14:paraId="29438B08">
            <w:pPr>
              <w:widowControl/>
              <w:spacing w:line="300" w:lineRule="auto"/>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流动资产合计万元</w:t>
            </w:r>
          </w:p>
        </w:tc>
        <w:tc>
          <w:tcPr>
            <w:tcW w:w="1080" w:type="dxa"/>
            <w:tcBorders>
              <w:top w:val="nil"/>
              <w:left w:val="single" w:color="CDCDD5" w:sz="8" w:space="0"/>
              <w:bottom w:val="single" w:color="AAACBC" w:sz="8" w:space="0"/>
              <w:right w:val="single" w:color="AAACBC" w:sz="8" w:space="0"/>
            </w:tcBorders>
            <w:shd w:val="clear" w:color="000000" w:fill="F7F7F8"/>
            <w:vAlign w:val="center"/>
          </w:tcPr>
          <w:p w14:paraId="12080B5C">
            <w:pPr>
              <w:widowControl/>
              <w:spacing w:line="30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2879790</w:t>
            </w:r>
          </w:p>
        </w:tc>
        <w:tc>
          <w:tcPr>
            <w:tcW w:w="1080" w:type="dxa"/>
            <w:tcBorders>
              <w:top w:val="nil"/>
              <w:left w:val="single" w:color="CDCDD5" w:sz="8" w:space="0"/>
              <w:bottom w:val="single" w:color="AAACBC" w:sz="8" w:space="0"/>
              <w:right w:val="single" w:color="AAACBC" w:sz="8" w:space="0"/>
            </w:tcBorders>
            <w:shd w:val="clear" w:color="000000" w:fill="F7F7F8"/>
            <w:vAlign w:val="center"/>
          </w:tcPr>
          <w:p w14:paraId="7951C63D">
            <w:pPr>
              <w:widowControl/>
              <w:spacing w:line="30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3809750</w:t>
            </w:r>
          </w:p>
        </w:tc>
        <w:tc>
          <w:tcPr>
            <w:tcW w:w="1080" w:type="dxa"/>
            <w:tcBorders>
              <w:top w:val="nil"/>
              <w:left w:val="single" w:color="CDCDD5" w:sz="8" w:space="0"/>
              <w:bottom w:val="single" w:color="AAACBC" w:sz="8" w:space="0"/>
              <w:right w:val="single" w:color="AAACBC" w:sz="8" w:space="0"/>
            </w:tcBorders>
            <w:shd w:val="clear" w:color="000000" w:fill="F7F7F8"/>
            <w:vAlign w:val="center"/>
          </w:tcPr>
          <w:p w14:paraId="091347B4">
            <w:pPr>
              <w:widowControl/>
              <w:spacing w:line="30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5197300</w:t>
            </w:r>
          </w:p>
        </w:tc>
        <w:tc>
          <w:tcPr>
            <w:tcW w:w="1080" w:type="dxa"/>
            <w:tcBorders>
              <w:top w:val="nil"/>
              <w:left w:val="single" w:color="CDCDD5" w:sz="8" w:space="0"/>
              <w:bottom w:val="single" w:color="AAACBC" w:sz="8" w:space="0"/>
              <w:right w:val="single" w:color="AAACBC" w:sz="8" w:space="0"/>
            </w:tcBorders>
            <w:shd w:val="clear" w:color="000000" w:fill="F7F7F8"/>
            <w:vAlign w:val="center"/>
          </w:tcPr>
          <w:p w14:paraId="340B6C95">
            <w:pPr>
              <w:widowControl/>
              <w:spacing w:line="30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5559220</w:t>
            </w:r>
          </w:p>
        </w:tc>
        <w:tc>
          <w:tcPr>
            <w:tcW w:w="1080" w:type="dxa"/>
            <w:tcBorders>
              <w:top w:val="nil"/>
              <w:left w:val="single" w:color="CDCDD5" w:sz="8" w:space="0"/>
              <w:bottom w:val="single" w:color="AAACBC" w:sz="8" w:space="0"/>
              <w:right w:val="single" w:color="AAACBC" w:sz="8" w:space="0"/>
            </w:tcBorders>
            <w:shd w:val="clear" w:color="000000" w:fill="F7F7F8"/>
            <w:vAlign w:val="center"/>
          </w:tcPr>
          <w:p w14:paraId="48C0A42F">
            <w:pPr>
              <w:widowControl/>
              <w:spacing w:line="30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5555110</w:t>
            </w:r>
          </w:p>
        </w:tc>
        <w:tc>
          <w:tcPr>
            <w:tcW w:w="1080" w:type="dxa"/>
            <w:tcBorders>
              <w:top w:val="nil"/>
              <w:left w:val="single" w:color="CDCDD5" w:sz="8" w:space="0"/>
              <w:bottom w:val="single" w:color="AAACBC" w:sz="8" w:space="0"/>
              <w:right w:val="single" w:color="AAACBC" w:sz="8" w:space="0"/>
            </w:tcBorders>
            <w:shd w:val="clear" w:color="000000" w:fill="F7F7F8"/>
            <w:vAlign w:val="center"/>
          </w:tcPr>
          <w:p w14:paraId="43E2F104">
            <w:pPr>
              <w:widowControl/>
              <w:spacing w:line="300" w:lineRule="auto"/>
              <w:jc w:val="right"/>
              <w:rPr>
                <w:rFonts w:ascii="宋体" w:hAnsi="宋体" w:eastAsia="宋体" w:cs="宋体"/>
                <w:color w:val="000000"/>
                <w:kern w:val="0"/>
                <w:sz w:val="18"/>
                <w:szCs w:val="18"/>
              </w:rPr>
            </w:pPr>
            <w:r>
              <w:fldChar w:fldCharType="begin"/>
            </w:r>
            <w:r>
              <w:instrText xml:space="preserve"> HYPERLINK "http://vip.stock.finance.sina.com.cn/corp/view/vFD_FinanceSummaryHistory.php?stockid=600239&amp;type=ldzchj" \t "_blank" </w:instrText>
            </w:r>
            <w:r>
              <w:fldChar w:fldCharType="separate"/>
            </w:r>
            <w:r>
              <w:rPr>
                <w:rFonts w:hint="eastAsia" w:ascii="宋体" w:hAnsi="宋体" w:eastAsia="宋体" w:cs="宋体"/>
                <w:color w:val="000000"/>
                <w:kern w:val="0"/>
                <w:sz w:val="18"/>
                <w:szCs w:val="18"/>
              </w:rPr>
              <w:t>5867390</w:t>
            </w:r>
            <w:r>
              <w:rPr>
                <w:rFonts w:hint="eastAsia" w:ascii="宋体" w:hAnsi="宋体" w:eastAsia="宋体" w:cs="宋体"/>
                <w:color w:val="000000"/>
                <w:kern w:val="0"/>
                <w:sz w:val="18"/>
                <w:szCs w:val="18"/>
              </w:rPr>
              <w:fldChar w:fldCharType="end"/>
            </w:r>
          </w:p>
        </w:tc>
      </w:tr>
      <w:tr w14:paraId="35022FFF">
        <w:tblPrEx>
          <w:tblCellMar>
            <w:top w:w="0" w:type="dxa"/>
            <w:left w:w="108" w:type="dxa"/>
            <w:bottom w:w="0" w:type="dxa"/>
            <w:right w:w="108" w:type="dxa"/>
          </w:tblCellMar>
        </w:tblPrEx>
        <w:trPr>
          <w:trHeight w:val="465" w:hRule="atLeast"/>
          <w:jc w:val="center"/>
        </w:trPr>
        <w:tc>
          <w:tcPr>
            <w:tcW w:w="1516" w:type="dxa"/>
            <w:tcBorders>
              <w:top w:val="nil"/>
              <w:left w:val="single" w:color="AAACBC" w:sz="8" w:space="0"/>
              <w:bottom w:val="single" w:color="AAACBC" w:sz="8" w:space="0"/>
              <w:right w:val="single" w:color="AAACBC" w:sz="8" w:space="0"/>
            </w:tcBorders>
            <w:shd w:val="clear" w:color="000000" w:fill="FFFFFF"/>
            <w:vAlign w:val="center"/>
          </w:tcPr>
          <w:p w14:paraId="0A189997">
            <w:pPr>
              <w:widowControl/>
              <w:spacing w:line="300" w:lineRule="auto"/>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资产总计万元</w:t>
            </w:r>
          </w:p>
        </w:tc>
        <w:tc>
          <w:tcPr>
            <w:tcW w:w="1080" w:type="dxa"/>
            <w:tcBorders>
              <w:top w:val="nil"/>
              <w:left w:val="single" w:color="CDCDD5" w:sz="8" w:space="0"/>
              <w:bottom w:val="single" w:color="AAACBC" w:sz="8" w:space="0"/>
              <w:right w:val="single" w:color="AAACBC" w:sz="8" w:space="0"/>
            </w:tcBorders>
            <w:shd w:val="clear" w:color="000000" w:fill="F7F7F8"/>
            <w:vAlign w:val="center"/>
          </w:tcPr>
          <w:p w14:paraId="3E5BE99C">
            <w:pPr>
              <w:widowControl/>
              <w:spacing w:line="30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3347800</w:t>
            </w:r>
          </w:p>
        </w:tc>
        <w:tc>
          <w:tcPr>
            <w:tcW w:w="1080" w:type="dxa"/>
            <w:tcBorders>
              <w:top w:val="nil"/>
              <w:left w:val="single" w:color="CDCDD5" w:sz="8" w:space="0"/>
              <w:bottom w:val="single" w:color="AAACBC" w:sz="8" w:space="0"/>
              <w:right w:val="single" w:color="AAACBC" w:sz="8" w:space="0"/>
            </w:tcBorders>
            <w:shd w:val="clear" w:color="000000" w:fill="F7F7F8"/>
            <w:vAlign w:val="center"/>
          </w:tcPr>
          <w:p w14:paraId="059A8F78">
            <w:pPr>
              <w:widowControl/>
              <w:spacing w:line="30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4519230</w:t>
            </w:r>
          </w:p>
        </w:tc>
        <w:tc>
          <w:tcPr>
            <w:tcW w:w="1080" w:type="dxa"/>
            <w:tcBorders>
              <w:top w:val="nil"/>
              <w:left w:val="single" w:color="CDCDD5" w:sz="8" w:space="0"/>
              <w:bottom w:val="single" w:color="AAACBC" w:sz="8" w:space="0"/>
              <w:right w:val="single" w:color="AAACBC" w:sz="8" w:space="0"/>
            </w:tcBorders>
            <w:shd w:val="clear" w:color="000000" w:fill="F7F7F8"/>
            <w:vAlign w:val="center"/>
          </w:tcPr>
          <w:p w14:paraId="70B7588A">
            <w:pPr>
              <w:widowControl/>
              <w:spacing w:line="30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6414290</w:t>
            </w:r>
          </w:p>
        </w:tc>
        <w:tc>
          <w:tcPr>
            <w:tcW w:w="1080" w:type="dxa"/>
            <w:tcBorders>
              <w:top w:val="nil"/>
              <w:left w:val="single" w:color="CDCDD5" w:sz="8" w:space="0"/>
              <w:bottom w:val="single" w:color="AAACBC" w:sz="8" w:space="0"/>
              <w:right w:val="single" w:color="AAACBC" w:sz="8" w:space="0"/>
            </w:tcBorders>
            <w:shd w:val="clear" w:color="000000" w:fill="F7F7F8"/>
            <w:vAlign w:val="center"/>
          </w:tcPr>
          <w:p w14:paraId="053517B8">
            <w:pPr>
              <w:widowControl/>
              <w:spacing w:line="30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7880300</w:t>
            </w:r>
          </w:p>
        </w:tc>
        <w:tc>
          <w:tcPr>
            <w:tcW w:w="1080" w:type="dxa"/>
            <w:tcBorders>
              <w:top w:val="nil"/>
              <w:left w:val="single" w:color="CDCDD5" w:sz="8" w:space="0"/>
              <w:bottom w:val="single" w:color="AAACBC" w:sz="8" w:space="0"/>
              <w:right w:val="single" w:color="AAACBC" w:sz="8" w:space="0"/>
            </w:tcBorders>
            <w:shd w:val="clear" w:color="000000" w:fill="F7F7F8"/>
            <w:vAlign w:val="center"/>
          </w:tcPr>
          <w:p w14:paraId="2F9E4B99">
            <w:pPr>
              <w:widowControl/>
              <w:spacing w:line="30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8486810</w:t>
            </w:r>
          </w:p>
        </w:tc>
        <w:tc>
          <w:tcPr>
            <w:tcW w:w="1080" w:type="dxa"/>
            <w:tcBorders>
              <w:top w:val="nil"/>
              <w:left w:val="single" w:color="CDCDD5" w:sz="8" w:space="0"/>
              <w:bottom w:val="single" w:color="AAACBC" w:sz="8" w:space="0"/>
              <w:right w:val="single" w:color="AAACBC" w:sz="8" w:space="0"/>
            </w:tcBorders>
            <w:shd w:val="clear" w:color="000000" w:fill="F7F7F8"/>
            <w:vAlign w:val="center"/>
          </w:tcPr>
          <w:p w14:paraId="59D24D9D">
            <w:pPr>
              <w:widowControl/>
              <w:spacing w:line="300" w:lineRule="auto"/>
              <w:jc w:val="right"/>
              <w:rPr>
                <w:rFonts w:ascii="宋体" w:hAnsi="宋体" w:eastAsia="宋体" w:cs="宋体"/>
                <w:color w:val="000000"/>
                <w:kern w:val="0"/>
                <w:sz w:val="18"/>
                <w:szCs w:val="18"/>
              </w:rPr>
            </w:pPr>
            <w:r>
              <w:fldChar w:fldCharType="begin"/>
            </w:r>
            <w:r>
              <w:instrText xml:space="preserve"> HYPERLINK "http://vip.stock.finance.sina.com.cn/corp/view/vFD_FinanceSummaryHistory.php?stockid=600239&amp;type=zczj" \t "_blank" </w:instrText>
            </w:r>
            <w:r>
              <w:fldChar w:fldCharType="separate"/>
            </w:r>
            <w:r>
              <w:rPr>
                <w:rFonts w:hint="eastAsia" w:ascii="宋体" w:hAnsi="宋体" w:eastAsia="宋体" w:cs="宋体"/>
                <w:color w:val="000000"/>
                <w:kern w:val="0"/>
                <w:sz w:val="18"/>
                <w:szCs w:val="18"/>
              </w:rPr>
              <w:t>8874130</w:t>
            </w:r>
            <w:r>
              <w:rPr>
                <w:rFonts w:hint="eastAsia" w:ascii="宋体" w:hAnsi="宋体" w:eastAsia="宋体" w:cs="宋体"/>
                <w:color w:val="000000"/>
                <w:kern w:val="0"/>
                <w:sz w:val="18"/>
                <w:szCs w:val="18"/>
              </w:rPr>
              <w:fldChar w:fldCharType="end"/>
            </w:r>
          </w:p>
        </w:tc>
      </w:tr>
      <w:tr w14:paraId="4905E09B">
        <w:tblPrEx>
          <w:tblCellMar>
            <w:top w:w="0" w:type="dxa"/>
            <w:left w:w="108" w:type="dxa"/>
            <w:bottom w:w="0" w:type="dxa"/>
            <w:right w:w="108" w:type="dxa"/>
          </w:tblCellMar>
        </w:tblPrEx>
        <w:trPr>
          <w:trHeight w:val="465" w:hRule="atLeast"/>
          <w:jc w:val="center"/>
        </w:trPr>
        <w:tc>
          <w:tcPr>
            <w:tcW w:w="1516" w:type="dxa"/>
            <w:tcBorders>
              <w:top w:val="nil"/>
              <w:left w:val="single" w:color="AAACBC" w:sz="8" w:space="0"/>
              <w:bottom w:val="single" w:color="AAACBC" w:sz="8" w:space="0"/>
              <w:right w:val="single" w:color="AAACBC" w:sz="8" w:space="0"/>
            </w:tcBorders>
            <w:shd w:val="clear" w:color="000000" w:fill="F7F7F8"/>
            <w:vAlign w:val="center"/>
          </w:tcPr>
          <w:p w14:paraId="15F2C738">
            <w:pPr>
              <w:widowControl/>
              <w:spacing w:line="300" w:lineRule="auto"/>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长期负债合计万元</w:t>
            </w:r>
          </w:p>
        </w:tc>
        <w:tc>
          <w:tcPr>
            <w:tcW w:w="1080" w:type="dxa"/>
            <w:tcBorders>
              <w:top w:val="nil"/>
              <w:left w:val="single" w:color="CDCDD5" w:sz="8" w:space="0"/>
              <w:bottom w:val="single" w:color="AAACBC" w:sz="8" w:space="0"/>
              <w:right w:val="single" w:color="AAACBC" w:sz="8" w:space="0"/>
            </w:tcBorders>
            <w:shd w:val="clear" w:color="000000" w:fill="F7F7F8"/>
            <w:vAlign w:val="center"/>
          </w:tcPr>
          <w:p w14:paraId="10FC8D3F">
            <w:pPr>
              <w:widowControl/>
              <w:spacing w:line="30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1482230</w:t>
            </w:r>
          </w:p>
        </w:tc>
        <w:tc>
          <w:tcPr>
            <w:tcW w:w="1080" w:type="dxa"/>
            <w:tcBorders>
              <w:top w:val="nil"/>
              <w:left w:val="single" w:color="CDCDD5" w:sz="8" w:space="0"/>
              <w:bottom w:val="single" w:color="AAACBC" w:sz="8" w:space="0"/>
              <w:right w:val="single" w:color="AAACBC" w:sz="8" w:space="0"/>
            </w:tcBorders>
            <w:shd w:val="clear" w:color="000000" w:fill="F7F7F8"/>
            <w:vAlign w:val="center"/>
          </w:tcPr>
          <w:p w14:paraId="3FF322C3">
            <w:pPr>
              <w:widowControl/>
              <w:spacing w:line="30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1945560</w:t>
            </w:r>
          </w:p>
        </w:tc>
        <w:tc>
          <w:tcPr>
            <w:tcW w:w="1080" w:type="dxa"/>
            <w:tcBorders>
              <w:top w:val="nil"/>
              <w:left w:val="single" w:color="CDCDD5" w:sz="8" w:space="0"/>
              <w:bottom w:val="single" w:color="AAACBC" w:sz="8" w:space="0"/>
              <w:right w:val="single" w:color="AAACBC" w:sz="8" w:space="0"/>
            </w:tcBorders>
            <w:shd w:val="clear" w:color="000000" w:fill="F7F7F8"/>
            <w:vAlign w:val="center"/>
          </w:tcPr>
          <w:p w14:paraId="33AD1BC6">
            <w:pPr>
              <w:widowControl/>
              <w:spacing w:line="30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2912940</w:t>
            </w:r>
          </w:p>
        </w:tc>
        <w:tc>
          <w:tcPr>
            <w:tcW w:w="1080" w:type="dxa"/>
            <w:tcBorders>
              <w:top w:val="nil"/>
              <w:left w:val="single" w:color="CDCDD5" w:sz="8" w:space="0"/>
              <w:bottom w:val="single" w:color="AAACBC" w:sz="8" w:space="0"/>
              <w:right w:val="single" w:color="AAACBC" w:sz="8" w:space="0"/>
            </w:tcBorders>
            <w:shd w:val="clear" w:color="000000" w:fill="F7F7F8"/>
            <w:vAlign w:val="center"/>
          </w:tcPr>
          <w:p w14:paraId="21A1971E">
            <w:pPr>
              <w:widowControl/>
              <w:spacing w:line="30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3132630</w:t>
            </w:r>
          </w:p>
        </w:tc>
        <w:tc>
          <w:tcPr>
            <w:tcW w:w="1080" w:type="dxa"/>
            <w:tcBorders>
              <w:top w:val="nil"/>
              <w:left w:val="single" w:color="CDCDD5" w:sz="8" w:space="0"/>
              <w:bottom w:val="single" w:color="AAACBC" w:sz="8" w:space="0"/>
              <w:right w:val="single" w:color="AAACBC" w:sz="8" w:space="0"/>
            </w:tcBorders>
            <w:shd w:val="clear" w:color="000000" w:fill="F7F7F8"/>
            <w:vAlign w:val="center"/>
          </w:tcPr>
          <w:p w14:paraId="74C7BA4F">
            <w:pPr>
              <w:widowControl/>
              <w:spacing w:line="30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3385120</w:t>
            </w:r>
          </w:p>
        </w:tc>
        <w:tc>
          <w:tcPr>
            <w:tcW w:w="1080" w:type="dxa"/>
            <w:tcBorders>
              <w:top w:val="nil"/>
              <w:left w:val="single" w:color="CDCDD5" w:sz="8" w:space="0"/>
              <w:bottom w:val="single" w:color="AAACBC" w:sz="8" w:space="0"/>
              <w:right w:val="single" w:color="AAACBC" w:sz="8" w:space="0"/>
            </w:tcBorders>
            <w:shd w:val="clear" w:color="000000" w:fill="F7F7F8"/>
            <w:vAlign w:val="center"/>
          </w:tcPr>
          <w:p w14:paraId="6C47DB8D">
            <w:pPr>
              <w:widowControl/>
              <w:spacing w:line="300" w:lineRule="auto"/>
              <w:jc w:val="right"/>
              <w:rPr>
                <w:rFonts w:ascii="宋体" w:hAnsi="宋体" w:eastAsia="宋体" w:cs="宋体"/>
                <w:color w:val="000000"/>
                <w:kern w:val="0"/>
                <w:sz w:val="18"/>
                <w:szCs w:val="18"/>
              </w:rPr>
            </w:pPr>
            <w:r>
              <w:fldChar w:fldCharType="begin"/>
            </w:r>
            <w:r>
              <w:instrText xml:space="preserve"> HYPERLINK "http://vip.stock.finance.sina.com.cn/corp/view/vFD_FinanceSummaryHistory.php?stockid=600239&amp;type=cqfzhj" \t "_blank" </w:instrText>
            </w:r>
            <w:r>
              <w:fldChar w:fldCharType="separate"/>
            </w:r>
            <w:r>
              <w:rPr>
                <w:rFonts w:hint="eastAsia" w:ascii="宋体" w:hAnsi="宋体" w:eastAsia="宋体" w:cs="宋体"/>
                <w:color w:val="000000"/>
                <w:kern w:val="0"/>
                <w:sz w:val="18"/>
                <w:szCs w:val="18"/>
              </w:rPr>
              <w:t>2727130</w:t>
            </w:r>
            <w:r>
              <w:rPr>
                <w:rFonts w:hint="eastAsia" w:ascii="宋体" w:hAnsi="宋体" w:eastAsia="宋体" w:cs="宋体"/>
                <w:color w:val="000000"/>
                <w:kern w:val="0"/>
                <w:sz w:val="18"/>
                <w:szCs w:val="18"/>
              </w:rPr>
              <w:fldChar w:fldCharType="end"/>
            </w:r>
          </w:p>
        </w:tc>
      </w:tr>
      <w:tr w14:paraId="567EFA8E">
        <w:tblPrEx>
          <w:tblCellMar>
            <w:top w:w="0" w:type="dxa"/>
            <w:left w:w="108" w:type="dxa"/>
            <w:bottom w:w="0" w:type="dxa"/>
            <w:right w:w="108" w:type="dxa"/>
          </w:tblCellMar>
        </w:tblPrEx>
        <w:trPr>
          <w:trHeight w:val="465" w:hRule="atLeast"/>
          <w:jc w:val="center"/>
        </w:trPr>
        <w:tc>
          <w:tcPr>
            <w:tcW w:w="1516" w:type="dxa"/>
            <w:tcBorders>
              <w:top w:val="nil"/>
              <w:left w:val="single" w:color="AAACBC" w:sz="8" w:space="0"/>
              <w:bottom w:val="single" w:color="AAACBC" w:sz="8" w:space="0"/>
              <w:right w:val="single" w:color="AAACBC" w:sz="8" w:space="0"/>
            </w:tcBorders>
            <w:shd w:val="clear" w:color="000000" w:fill="FFFFFF"/>
            <w:vAlign w:val="center"/>
          </w:tcPr>
          <w:p w14:paraId="319D2C5A">
            <w:pPr>
              <w:widowControl/>
              <w:spacing w:line="300" w:lineRule="auto"/>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主营业务收入万元</w:t>
            </w:r>
          </w:p>
        </w:tc>
        <w:tc>
          <w:tcPr>
            <w:tcW w:w="1080" w:type="dxa"/>
            <w:tcBorders>
              <w:top w:val="nil"/>
              <w:left w:val="single" w:color="CDCDD5" w:sz="8" w:space="0"/>
              <w:bottom w:val="single" w:color="AAACBC" w:sz="8" w:space="0"/>
              <w:right w:val="single" w:color="AAACBC" w:sz="8" w:space="0"/>
            </w:tcBorders>
            <w:shd w:val="clear" w:color="000000" w:fill="F7F7F8"/>
            <w:vAlign w:val="center"/>
          </w:tcPr>
          <w:p w14:paraId="02AAA749">
            <w:pPr>
              <w:widowControl/>
              <w:spacing w:line="30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394747</w:t>
            </w:r>
          </w:p>
        </w:tc>
        <w:tc>
          <w:tcPr>
            <w:tcW w:w="1080" w:type="dxa"/>
            <w:tcBorders>
              <w:top w:val="nil"/>
              <w:left w:val="single" w:color="CDCDD5" w:sz="8" w:space="0"/>
              <w:bottom w:val="single" w:color="AAACBC" w:sz="8" w:space="0"/>
              <w:right w:val="single" w:color="AAACBC" w:sz="8" w:space="0"/>
            </w:tcBorders>
            <w:shd w:val="clear" w:color="000000" w:fill="F7F7F8"/>
            <w:vAlign w:val="center"/>
          </w:tcPr>
          <w:p w14:paraId="68E7AD8F">
            <w:pPr>
              <w:widowControl/>
              <w:spacing w:line="30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401291</w:t>
            </w:r>
          </w:p>
        </w:tc>
        <w:tc>
          <w:tcPr>
            <w:tcW w:w="1080" w:type="dxa"/>
            <w:tcBorders>
              <w:top w:val="nil"/>
              <w:left w:val="single" w:color="CDCDD5" w:sz="8" w:space="0"/>
              <w:bottom w:val="single" w:color="AAACBC" w:sz="8" w:space="0"/>
              <w:right w:val="single" w:color="AAACBC" w:sz="8" w:space="0"/>
            </w:tcBorders>
            <w:shd w:val="clear" w:color="000000" w:fill="F7F7F8"/>
            <w:vAlign w:val="center"/>
          </w:tcPr>
          <w:p w14:paraId="223DDD83">
            <w:pPr>
              <w:widowControl/>
              <w:spacing w:line="30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976968</w:t>
            </w:r>
          </w:p>
        </w:tc>
        <w:tc>
          <w:tcPr>
            <w:tcW w:w="1080" w:type="dxa"/>
            <w:tcBorders>
              <w:top w:val="nil"/>
              <w:left w:val="single" w:color="CDCDD5" w:sz="8" w:space="0"/>
              <w:bottom w:val="single" w:color="AAACBC" w:sz="8" w:space="0"/>
              <w:right w:val="single" w:color="AAACBC" w:sz="8" w:space="0"/>
            </w:tcBorders>
            <w:shd w:val="clear" w:color="000000" w:fill="F7F7F8"/>
            <w:vAlign w:val="center"/>
          </w:tcPr>
          <w:p w14:paraId="5320B5DA">
            <w:pPr>
              <w:widowControl/>
              <w:spacing w:line="30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1439080</w:t>
            </w:r>
          </w:p>
        </w:tc>
        <w:tc>
          <w:tcPr>
            <w:tcW w:w="1080" w:type="dxa"/>
            <w:tcBorders>
              <w:top w:val="nil"/>
              <w:left w:val="single" w:color="CDCDD5" w:sz="8" w:space="0"/>
              <w:bottom w:val="single" w:color="AAACBC" w:sz="8" w:space="0"/>
              <w:right w:val="single" w:color="AAACBC" w:sz="8" w:space="0"/>
            </w:tcBorders>
            <w:shd w:val="clear" w:color="000000" w:fill="F7F7F8"/>
            <w:vAlign w:val="center"/>
          </w:tcPr>
          <w:p w14:paraId="1EB06A45">
            <w:pPr>
              <w:widowControl/>
              <w:spacing w:line="30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954298</w:t>
            </w:r>
          </w:p>
        </w:tc>
        <w:tc>
          <w:tcPr>
            <w:tcW w:w="1080" w:type="dxa"/>
            <w:tcBorders>
              <w:top w:val="nil"/>
              <w:left w:val="single" w:color="CDCDD5" w:sz="8" w:space="0"/>
              <w:bottom w:val="single" w:color="AAACBC" w:sz="8" w:space="0"/>
              <w:right w:val="single" w:color="AAACBC" w:sz="8" w:space="0"/>
            </w:tcBorders>
            <w:shd w:val="clear" w:color="000000" w:fill="F7F7F8"/>
            <w:vAlign w:val="center"/>
          </w:tcPr>
          <w:p w14:paraId="1F748C61">
            <w:pPr>
              <w:widowControl/>
              <w:spacing w:line="300" w:lineRule="auto"/>
              <w:jc w:val="right"/>
              <w:rPr>
                <w:rFonts w:ascii="宋体" w:hAnsi="宋体" w:eastAsia="宋体" w:cs="宋体"/>
                <w:color w:val="000000"/>
                <w:kern w:val="0"/>
                <w:sz w:val="18"/>
                <w:szCs w:val="18"/>
              </w:rPr>
            </w:pPr>
            <w:r>
              <w:fldChar w:fldCharType="begin"/>
            </w:r>
            <w:r>
              <w:instrText xml:space="preserve"> HYPERLINK "http://vip.stock.finance.sina.com.cn/corp/view/vFD_FinanceSummaryHistory.php?stockid=600239&amp;type=zyywsr" \t "_blank" </w:instrText>
            </w:r>
            <w:r>
              <w:fldChar w:fldCharType="separate"/>
            </w:r>
            <w:r>
              <w:rPr>
                <w:rFonts w:hint="eastAsia" w:ascii="宋体" w:hAnsi="宋体" w:eastAsia="宋体" w:cs="宋体"/>
                <w:color w:val="000000"/>
                <w:kern w:val="0"/>
                <w:sz w:val="18"/>
                <w:szCs w:val="18"/>
              </w:rPr>
              <w:t>485215</w:t>
            </w:r>
            <w:r>
              <w:rPr>
                <w:rFonts w:hint="eastAsia" w:ascii="宋体" w:hAnsi="宋体" w:eastAsia="宋体" w:cs="宋体"/>
                <w:color w:val="000000"/>
                <w:kern w:val="0"/>
                <w:sz w:val="18"/>
                <w:szCs w:val="18"/>
              </w:rPr>
              <w:fldChar w:fldCharType="end"/>
            </w:r>
          </w:p>
        </w:tc>
      </w:tr>
      <w:tr w14:paraId="6362DBAE">
        <w:tblPrEx>
          <w:tblCellMar>
            <w:top w:w="0" w:type="dxa"/>
            <w:left w:w="108" w:type="dxa"/>
            <w:bottom w:w="0" w:type="dxa"/>
            <w:right w:w="108" w:type="dxa"/>
          </w:tblCellMar>
        </w:tblPrEx>
        <w:trPr>
          <w:trHeight w:val="465" w:hRule="atLeast"/>
          <w:jc w:val="center"/>
        </w:trPr>
        <w:tc>
          <w:tcPr>
            <w:tcW w:w="1516" w:type="dxa"/>
            <w:tcBorders>
              <w:top w:val="nil"/>
              <w:left w:val="single" w:color="AAACBC" w:sz="8" w:space="0"/>
              <w:bottom w:val="single" w:color="AAACBC" w:sz="8" w:space="0"/>
              <w:right w:val="single" w:color="AAACBC" w:sz="8" w:space="0"/>
            </w:tcBorders>
            <w:shd w:val="clear" w:color="000000" w:fill="F7F7F8"/>
            <w:vAlign w:val="center"/>
          </w:tcPr>
          <w:p w14:paraId="079FF9A2">
            <w:pPr>
              <w:widowControl/>
              <w:spacing w:line="300" w:lineRule="auto"/>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财务费用万元</w:t>
            </w:r>
          </w:p>
        </w:tc>
        <w:tc>
          <w:tcPr>
            <w:tcW w:w="1080" w:type="dxa"/>
            <w:tcBorders>
              <w:top w:val="nil"/>
              <w:left w:val="single" w:color="CDCDD5" w:sz="8" w:space="0"/>
              <w:bottom w:val="single" w:color="AAACBC" w:sz="8" w:space="0"/>
              <w:right w:val="single" w:color="AAACBC" w:sz="8" w:space="0"/>
            </w:tcBorders>
            <w:shd w:val="clear" w:color="000000" w:fill="F7F7F8"/>
            <w:vAlign w:val="center"/>
          </w:tcPr>
          <w:p w14:paraId="4C232617">
            <w:pPr>
              <w:widowControl/>
              <w:spacing w:line="30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43396</w:t>
            </w:r>
          </w:p>
        </w:tc>
        <w:tc>
          <w:tcPr>
            <w:tcW w:w="1080" w:type="dxa"/>
            <w:tcBorders>
              <w:top w:val="nil"/>
              <w:left w:val="single" w:color="CDCDD5" w:sz="8" w:space="0"/>
              <w:bottom w:val="single" w:color="AAACBC" w:sz="8" w:space="0"/>
              <w:right w:val="single" w:color="AAACBC" w:sz="8" w:space="0"/>
            </w:tcBorders>
            <w:shd w:val="clear" w:color="000000" w:fill="F7F7F8"/>
            <w:vAlign w:val="center"/>
          </w:tcPr>
          <w:p w14:paraId="254FB8BF">
            <w:pPr>
              <w:widowControl/>
              <w:spacing w:line="30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36411</w:t>
            </w:r>
          </w:p>
        </w:tc>
        <w:tc>
          <w:tcPr>
            <w:tcW w:w="1080" w:type="dxa"/>
            <w:tcBorders>
              <w:top w:val="nil"/>
              <w:left w:val="single" w:color="CDCDD5" w:sz="8" w:space="0"/>
              <w:bottom w:val="single" w:color="AAACBC" w:sz="8" w:space="0"/>
              <w:right w:val="single" w:color="AAACBC" w:sz="8" w:space="0"/>
            </w:tcBorders>
            <w:shd w:val="clear" w:color="000000" w:fill="F7F7F8"/>
            <w:vAlign w:val="center"/>
          </w:tcPr>
          <w:p w14:paraId="6AB32532">
            <w:pPr>
              <w:widowControl/>
              <w:spacing w:line="30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87747</w:t>
            </w:r>
          </w:p>
        </w:tc>
        <w:tc>
          <w:tcPr>
            <w:tcW w:w="1080" w:type="dxa"/>
            <w:tcBorders>
              <w:top w:val="nil"/>
              <w:left w:val="single" w:color="CDCDD5" w:sz="8" w:space="0"/>
              <w:bottom w:val="single" w:color="AAACBC" w:sz="8" w:space="0"/>
              <w:right w:val="single" w:color="AAACBC" w:sz="8" w:space="0"/>
            </w:tcBorders>
            <w:shd w:val="clear" w:color="000000" w:fill="F7F7F8"/>
            <w:vAlign w:val="center"/>
          </w:tcPr>
          <w:p w14:paraId="078CFBEB">
            <w:pPr>
              <w:widowControl/>
              <w:spacing w:line="30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159082</w:t>
            </w:r>
          </w:p>
        </w:tc>
        <w:tc>
          <w:tcPr>
            <w:tcW w:w="1080" w:type="dxa"/>
            <w:tcBorders>
              <w:top w:val="nil"/>
              <w:left w:val="single" w:color="CDCDD5" w:sz="8" w:space="0"/>
              <w:bottom w:val="single" w:color="AAACBC" w:sz="8" w:space="0"/>
              <w:right w:val="single" w:color="AAACBC" w:sz="8" w:space="0"/>
            </w:tcBorders>
            <w:shd w:val="clear" w:color="000000" w:fill="F7F7F8"/>
            <w:vAlign w:val="center"/>
          </w:tcPr>
          <w:p w14:paraId="618685D3">
            <w:pPr>
              <w:widowControl/>
              <w:spacing w:line="30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175034</w:t>
            </w:r>
          </w:p>
        </w:tc>
        <w:tc>
          <w:tcPr>
            <w:tcW w:w="1080" w:type="dxa"/>
            <w:tcBorders>
              <w:top w:val="nil"/>
              <w:left w:val="single" w:color="CDCDD5" w:sz="8" w:space="0"/>
              <w:bottom w:val="single" w:color="AAACBC" w:sz="8" w:space="0"/>
              <w:right w:val="single" w:color="AAACBC" w:sz="8" w:space="0"/>
            </w:tcBorders>
            <w:shd w:val="clear" w:color="000000" w:fill="F7F7F8"/>
            <w:vAlign w:val="center"/>
          </w:tcPr>
          <w:p w14:paraId="5C94EB29">
            <w:pPr>
              <w:widowControl/>
              <w:spacing w:line="300" w:lineRule="auto"/>
              <w:jc w:val="right"/>
              <w:rPr>
                <w:rFonts w:ascii="宋体" w:hAnsi="宋体" w:eastAsia="宋体" w:cs="宋体"/>
                <w:color w:val="000000"/>
                <w:kern w:val="0"/>
                <w:sz w:val="18"/>
                <w:szCs w:val="18"/>
              </w:rPr>
            </w:pPr>
            <w:r>
              <w:fldChar w:fldCharType="begin"/>
            </w:r>
            <w:r>
              <w:instrText xml:space="preserve"> HYPERLINK "http://vip.stock.finance.sina.com.cn/corp/view/vFD_FinanceSummaryHistory.php?stockid=600239&amp;type=cwfy" \t "_blank" </w:instrText>
            </w:r>
            <w:r>
              <w:fldChar w:fldCharType="separate"/>
            </w:r>
            <w:r>
              <w:rPr>
                <w:rFonts w:hint="eastAsia" w:ascii="宋体" w:hAnsi="宋体" w:eastAsia="宋体" w:cs="宋体"/>
                <w:color w:val="000000"/>
                <w:kern w:val="0"/>
                <w:sz w:val="18"/>
                <w:szCs w:val="18"/>
              </w:rPr>
              <w:t>158742</w:t>
            </w:r>
            <w:r>
              <w:rPr>
                <w:rFonts w:hint="eastAsia" w:ascii="宋体" w:hAnsi="宋体" w:eastAsia="宋体" w:cs="宋体"/>
                <w:color w:val="000000"/>
                <w:kern w:val="0"/>
                <w:sz w:val="18"/>
                <w:szCs w:val="18"/>
              </w:rPr>
              <w:fldChar w:fldCharType="end"/>
            </w:r>
          </w:p>
        </w:tc>
      </w:tr>
      <w:tr w14:paraId="0DAC0AD6">
        <w:tblPrEx>
          <w:tblCellMar>
            <w:top w:w="0" w:type="dxa"/>
            <w:left w:w="108" w:type="dxa"/>
            <w:bottom w:w="0" w:type="dxa"/>
            <w:right w:w="108" w:type="dxa"/>
          </w:tblCellMar>
        </w:tblPrEx>
        <w:trPr>
          <w:trHeight w:val="300" w:hRule="atLeast"/>
          <w:jc w:val="center"/>
        </w:trPr>
        <w:tc>
          <w:tcPr>
            <w:tcW w:w="1516" w:type="dxa"/>
            <w:tcBorders>
              <w:top w:val="nil"/>
              <w:left w:val="single" w:color="AAACBC" w:sz="8" w:space="0"/>
              <w:bottom w:val="single" w:color="AAACBC" w:sz="8" w:space="0"/>
              <w:right w:val="single" w:color="AAACBC" w:sz="8" w:space="0"/>
            </w:tcBorders>
            <w:shd w:val="clear" w:color="000000" w:fill="FFFFFF"/>
            <w:vAlign w:val="center"/>
          </w:tcPr>
          <w:p w14:paraId="221A9636">
            <w:pPr>
              <w:widowControl/>
              <w:spacing w:line="300" w:lineRule="auto"/>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净利润万元</w:t>
            </w:r>
          </w:p>
        </w:tc>
        <w:tc>
          <w:tcPr>
            <w:tcW w:w="1080" w:type="dxa"/>
            <w:tcBorders>
              <w:top w:val="nil"/>
              <w:left w:val="single" w:color="CDCDD5" w:sz="8" w:space="0"/>
              <w:bottom w:val="single" w:color="AAACBC" w:sz="8" w:space="0"/>
              <w:right w:val="single" w:color="AAACBC" w:sz="8" w:space="0"/>
            </w:tcBorders>
            <w:shd w:val="clear" w:color="000000" w:fill="F7F7F8"/>
            <w:vAlign w:val="center"/>
          </w:tcPr>
          <w:p w14:paraId="6F4C4837">
            <w:pPr>
              <w:widowControl/>
              <w:spacing w:line="30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44074</w:t>
            </w:r>
          </w:p>
        </w:tc>
        <w:tc>
          <w:tcPr>
            <w:tcW w:w="1080" w:type="dxa"/>
            <w:tcBorders>
              <w:top w:val="nil"/>
              <w:left w:val="single" w:color="CDCDD5" w:sz="8" w:space="0"/>
              <w:bottom w:val="single" w:color="AAACBC" w:sz="8" w:space="0"/>
              <w:right w:val="single" w:color="AAACBC" w:sz="8" w:space="0"/>
            </w:tcBorders>
            <w:shd w:val="clear" w:color="000000" w:fill="F7F7F8"/>
            <w:vAlign w:val="center"/>
          </w:tcPr>
          <w:p w14:paraId="1FA63173">
            <w:pPr>
              <w:widowControl/>
              <w:spacing w:line="30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27865</w:t>
            </w:r>
          </w:p>
        </w:tc>
        <w:tc>
          <w:tcPr>
            <w:tcW w:w="1080" w:type="dxa"/>
            <w:tcBorders>
              <w:top w:val="nil"/>
              <w:left w:val="single" w:color="CDCDD5" w:sz="8" w:space="0"/>
              <w:bottom w:val="single" w:color="AAACBC" w:sz="8" w:space="0"/>
              <w:right w:val="single" w:color="AAACBC" w:sz="8" w:space="0"/>
            </w:tcBorders>
            <w:shd w:val="clear" w:color="000000" w:fill="F7F7F8"/>
            <w:vAlign w:val="center"/>
          </w:tcPr>
          <w:p w14:paraId="4A6389E4">
            <w:pPr>
              <w:widowControl/>
              <w:spacing w:line="30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24414</w:t>
            </w:r>
          </w:p>
        </w:tc>
        <w:tc>
          <w:tcPr>
            <w:tcW w:w="1080" w:type="dxa"/>
            <w:tcBorders>
              <w:top w:val="nil"/>
              <w:left w:val="single" w:color="CDCDD5" w:sz="8" w:space="0"/>
              <w:bottom w:val="single" w:color="AAACBC" w:sz="8" w:space="0"/>
              <w:right w:val="single" w:color="AAACBC" w:sz="8" w:space="0"/>
            </w:tcBorders>
            <w:shd w:val="clear" w:color="000000" w:fill="F7F7F8"/>
            <w:vAlign w:val="center"/>
          </w:tcPr>
          <w:p w14:paraId="56C53AEA">
            <w:pPr>
              <w:widowControl/>
              <w:spacing w:line="30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26401</w:t>
            </w:r>
          </w:p>
        </w:tc>
        <w:tc>
          <w:tcPr>
            <w:tcW w:w="1080" w:type="dxa"/>
            <w:tcBorders>
              <w:top w:val="nil"/>
              <w:left w:val="single" w:color="CDCDD5" w:sz="8" w:space="0"/>
              <w:bottom w:val="single" w:color="AAACBC" w:sz="8" w:space="0"/>
              <w:right w:val="single" w:color="AAACBC" w:sz="8" w:space="0"/>
            </w:tcBorders>
            <w:shd w:val="clear" w:color="000000" w:fill="F7F7F8"/>
            <w:vAlign w:val="center"/>
          </w:tcPr>
          <w:p w14:paraId="199936CD">
            <w:pPr>
              <w:widowControl/>
              <w:spacing w:line="30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49141</w:t>
            </w:r>
          </w:p>
        </w:tc>
        <w:tc>
          <w:tcPr>
            <w:tcW w:w="1080" w:type="dxa"/>
            <w:tcBorders>
              <w:top w:val="nil"/>
              <w:left w:val="single" w:color="CDCDD5" w:sz="8" w:space="0"/>
              <w:bottom w:val="single" w:color="AAACBC" w:sz="8" w:space="0"/>
              <w:right w:val="single" w:color="AAACBC" w:sz="8" w:space="0"/>
            </w:tcBorders>
            <w:shd w:val="clear" w:color="000000" w:fill="F7F7F8"/>
            <w:vAlign w:val="center"/>
          </w:tcPr>
          <w:p w14:paraId="74607EC4">
            <w:pPr>
              <w:widowControl/>
              <w:spacing w:line="300" w:lineRule="auto"/>
              <w:jc w:val="right"/>
              <w:rPr>
                <w:rFonts w:ascii="宋体" w:hAnsi="宋体" w:eastAsia="宋体" w:cs="宋体"/>
                <w:color w:val="000000"/>
                <w:kern w:val="0"/>
                <w:sz w:val="18"/>
                <w:szCs w:val="18"/>
              </w:rPr>
            </w:pPr>
            <w:r>
              <w:fldChar w:fldCharType="begin"/>
            </w:r>
            <w:r>
              <w:instrText xml:space="preserve"> HYPERLINK "http://vip.stock.finance.sina.com.cn/corp/view/vFD_FinanceSummaryHistory.php?stockid=600239&amp;type=jlr" \t "_blank" </w:instrText>
            </w:r>
            <w:r>
              <w:fldChar w:fldCharType="separate"/>
            </w:r>
            <w:r>
              <w:rPr>
                <w:rFonts w:hint="eastAsia" w:ascii="宋体" w:hAnsi="宋体" w:eastAsia="宋体" w:cs="宋体"/>
                <w:color w:val="000000"/>
                <w:kern w:val="0"/>
                <w:sz w:val="18"/>
                <w:szCs w:val="18"/>
              </w:rPr>
              <w:t>-106289</w:t>
            </w:r>
            <w:r>
              <w:rPr>
                <w:rFonts w:hint="eastAsia" w:ascii="宋体" w:hAnsi="宋体" w:eastAsia="宋体" w:cs="宋体"/>
                <w:color w:val="000000"/>
                <w:kern w:val="0"/>
                <w:sz w:val="18"/>
                <w:szCs w:val="18"/>
              </w:rPr>
              <w:fldChar w:fldCharType="end"/>
            </w:r>
          </w:p>
        </w:tc>
      </w:tr>
      <w:tr w14:paraId="720A41AB">
        <w:tblPrEx>
          <w:tblCellMar>
            <w:top w:w="0" w:type="dxa"/>
            <w:left w:w="108" w:type="dxa"/>
            <w:bottom w:w="0" w:type="dxa"/>
            <w:right w:w="108" w:type="dxa"/>
          </w:tblCellMar>
        </w:tblPrEx>
        <w:trPr>
          <w:trHeight w:val="465" w:hRule="atLeast"/>
          <w:jc w:val="center"/>
        </w:trPr>
        <w:tc>
          <w:tcPr>
            <w:tcW w:w="1516" w:type="dxa"/>
            <w:tcBorders>
              <w:top w:val="nil"/>
              <w:left w:val="single" w:color="CDCDD5" w:sz="8" w:space="0"/>
              <w:bottom w:val="single" w:color="AAACBC" w:sz="8" w:space="0"/>
              <w:right w:val="single" w:color="AAACBC" w:sz="8" w:space="0"/>
            </w:tcBorders>
            <w:shd w:val="clear" w:color="000000" w:fill="F7F7F8"/>
            <w:vAlign w:val="center"/>
          </w:tcPr>
          <w:p w14:paraId="3D4FE07C">
            <w:pPr>
              <w:widowControl/>
              <w:spacing w:line="300" w:lineRule="auto"/>
              <w:jc w:val="left"/>
              <w:rPr>
                <w:rFonts w:ascii="宋体" w:hAnsi="宋体" w:eastAsia="宋体" w:cs="宋体"/>
                <w:color w:val="000000"/>
                <w:kern w:val="0"/>
                <w:sz w:val="15"/>
                <w:szCs w:val="15"/>
              </w:rPr>
            </w:pPr>
            <w:r>
              <w:fldChar w:fldCharType="begin"/>
            </w:r>
            <w:r>
              <w:instrText xml:space="preserve"> HYPERLINK "http://vip.stock.finance.sina.com.cn/corp/view/vFD_FinancialGuideLineHistory.php?stockid=600239&amp;typecode=financialratios56" \t "_blank" </w:instrText>
            </w:r>
            <w:r>
              <w:fldChar w:fldCharType="separate"/>
            </w:r>
            <w:r>
              <w:rPr>
                <w:rFonts w:hint="eastAsia" w:ascii="宋体" w:hAnsi="宋体" w:eastAsia="宋体" w:cs="宋体"/>
                <w:color w:val="000000"/>
                <w:kern w:val="0"/>
                <w:sz w:val="15"/>
                <w:szCs w:val="15"/>
              </w:rPr>
              <w:t>资产负债率(%)</w:t>
            </w:r>
            <w:r>
              <w:rPr>
                <w:rFonts w:hint="eastAsia" w:ascii="宋体" w:hAnsi="宋体" w:eastAsia="宋体" w:cs="宋体"/>
                <w:color w:val="000000"/>
                <w:kern w:val="0"/>
                <w:sz w:val="15"/>
                <w:szCs w:val="15"/>
              </w:rPr>
              <w:fldChar w:fldCharType="end"/>
            </w:r>
          </w:p>
        </w:tc>
        <w:tc>
          <w:tcPr>
            <w:tcW w:w="1080" w:type="dxa"/>
            <w:tcBorders>
              <w:top w:val="nil"/>
              <w:left w:val="single" w:color="CDCDD5" w:sz="8" w:space="0"/>
              <w:bottom w:val="single" w:color="AAACBC" w:sz="8" w:space="0"/>
              <w:right w:val="single" w:color="AAACBC" w:sz="8" w:space="0"/>
            </w:tcBorders>
            <w:shd w:val="clear" w:color="000000" w:fill="F7F7F8"/>
            <w:vAlign w:val="center"/>
          </w:tcPr>
          <w:p w14:paraId="082E85DD">
            <w:pPr>
              <w:widowControl/>
              <w:spacing w:line="30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85.2234</w:t>
            </w:r>
          </w:p>
        </w:tc>
        <w:tc>
          <w:tcPr>
            <w:tcW w:w="1080" w:type="dxa"/>
            <w:tcBorders>
              <w:top w:val="nil"/>
              <w:left w:val="single" w:color="CDCDD5" w:sz="8" w:space="0"/>
              <w:bottom w:val="single" w:color="AAACBC" w:sz="8" w:space="0"/>
              <w:right w:val="single" w:color="AAACBC" w:sz="8" w:space="0"/>
            </w:tcBorders>
            <w:shd w:val="clear" w:color="000000" w:fill="F7F7F8"/>
            <w:vAlign w:val="center"/>
          </w:tcPr>
          <w:p w14:paraId="4B203978">
            <w:pPr>
              <w:widowControl/>
              <w:spacing w:line="30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87.6405</w:t>
            </w:r>
          </w:p>
        </w:tc>
        <w:tc>
          <w:tcPr>
            <w:tcW w:w="1080" w:type="dxa"/>
            <w:tcBorders>
              <w:top w:val="nil"/>
              <w:left w:val="single" w:color="CDCDD5" w:sz="8" w:space="0"/>
              <w:bottom w:val="single" w:color="AAACBC" w:sz="8" w:space="0"/>
              <w:right w:val="single" w:color="AAACBC" w:sz="8" w:space="0"/>
            </w:tcBorders>
            <w:shd w:val="clear" w:color="000000" w:fill="F7F7F8"/>
            <w:vAlign w:val="center"/>
          </w:tcPr>
          <w:p w14:paraId="750A78C5">
            <w:pPr>
              <w:widowControl/>
              <w:spacing w:line="30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89.2187</w:t>
            </w:r>
          </w:p>
        </w:tc>
        <w:tc>
          <w:tcPr>
            <w:tcW w:w="1080" w:type="dxa"/>
            <w:tcBorders>
              <w:top w:val="nil"/>
              <w:left w:val="single" w:color="CDCDD5" w:sz="8" w:space="0"/>
              <w:bottom w:val="single" w:color="AAACBC" w:sz="8" w:space="0"/>
              <w:right w:val="single" w:color="AAACBC" w:sz="8" w:space="0"/>
            </w:tcBorders>
            <w:shd w:val="clear" w:color="000000" w:fill="F7F7F8"/>
            <w:vAlign w:val="center"/>
          </w:tcPr>
          <w:p w14:paraId="668733B2">
            <w:pPr>
              <w:widowControl/>
              <w:spacing w:line="30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88.8156</w:t>
            </w:r>
          </w:p>
        </w:tc>
        <w:tc>
          <w:tcPr>
            <w:tcW w:w="1080" w:type="dxa"/>
            <w:tcBorders>
              <w:top w:val="nil"/>
              <w:left w:val="single" w:color="CDCDD5" w:sz="8" w:space="0"/>
              <w:bottom w:val="single" w:color="AAACBC" w:sz="8" w:space="0"/>
              <w:right w:val="single" w:color="AAACBC" w:sz="8" w:space="0"/>
            </w:tcBorders>
            <w:shd w:val="clear" w:color="000000" w:fill="F7F7F8"/>
            <w:vAlign w:val="center"/>
          </w:tcPr>
          <w:p w14:paraId="67DA7505">
            <w:pPr>
              <w:widowControl/>
              <w:spacing w:line="30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89.3713</w:t>
            </w:r>
          </w:p>
        </w:tc>
        <w:tc>
          <w:tcPr>
            <w:tcW w:w="1080" w:type="dxa"/>
            <w:tcBorders>
              <w:top w:val="nil"/>
              <w:left w:val="single" w:color="CDCDD5" w:sz="8" w:space="0"/>
              <w:bottom w:val="single" w:color="AAACBC" w:sz="8" w:space="0"/>
              <w:right w:val="single" w:color="AAACBC" w:sz="8" w:space="0"/>
            </w:tcBorders>
            <w:shd w:val="clear" w:color="000000" w:fill="F7F7F8"/>
            <w:vAlign w:val="center"/>
          </w:tcPr>
          <w:p w14:paraId="590911EF">
            <w:pPr>
              <w:widowControl/>
              <w:spacing w:line="30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91.287</w:t>
            </w:r>
          </w:p>
        </w:tc>
      </w:tr>
    </w:tbl>
    <w:p w14:paraId="43FE3D7F">
      <w:pPr>
        <w:spacing w:line="300" w:lineRule="auto"/>
        <w:ind w:firstLine="420" w:firstLineChars="200"/>
        <w:rPr>
          <w:rFonts w:ascii="宋体" w:hAnsi="宋体" w:eastAsia="宋体"/>
          <w:szCs w:val="21"/>
        </w:rPr>
      </w:pPr>
    </w:p>
    <w:p w14:paraId="2F1A0FF1">
      <w:pPr>
        <w:spacing w:line="300" w:lineRule="auto"/>
        <w:ind w:firstLine="420" w:firstLineChars="200"/>
        <w:jc w:val="center"/>
        <w:rPr>
          <w:rFonts w:ascii="宋体" w:hAnsi="宋体" w:eastAsia="宋体"/>
          <w:szCs w:val="21"/>
        </w:rPr>
      </w:pPr>
    </w:p>
    <w:p w14:paraId="325FC18F">
      <w:pPr>
        <w:spacing w:line="300" w:lineRule="auto"/>
        <w:ind w:firstLine="420" w:firstLineChars="200"/>
        <w:rPr>
          <w:rFonts w:ascii="宋体" w:hAnsi="宋体" w:eastAsia="宋体"/>
          <w:szCs w:val="21"/>
        </w:rPr>
      </w:pPr>
    </w:p>
    <w:p w14:paraId="03AB7EDA">
      <w:pPr>
        <w:spacing w:line="300" w:lineRule="auto"/>
        <w:ind w:firstLine="482" w:firstLineChars="200"/>
        <w:rPr>
          <w:rFonts w:ascii="宋体" w:hAnsi="宋体" w:eastAsia="宋体"/>
          <w:b/>
          <w:sz w:val="24"/>
        </w:rPr>
      </w:pPr>
      <w:r>
        <w:rPr>
          <w:rFonts w:hint="eastAsia" w:ascii="宋体" w:hAnsi="宋体" w:eastAsia="宋体"/>
          <w:b/>
          <w:sz w:val="24"/>
        </w:rPr>
        <w:t>案例讨论问题：</w:t>
      </w:r>
    </w:p>
    <w:p w14:paraId="4E3B6721">
      <w:pPr>
        <w:pStyle w:val="7"/>
        <w:numPr>
          <w:ilvl w:val="0"/>
          <w:numId w:val="3"/>
        </w:numPr>
        <w:ind w:firstLineChars="0"/>
        <w:rPr>
          <w:rFonts w:ascii="宋体" w:hAnsi="宋体"/>
          <w:b/>
          <w:sz w:val="24"/>
          <w:szCs w:val="24"/>
        </w:rPr>
      </w:pPr>
      <w:r>
        <w:rPr>
          <w:rFonts w:hint="eastAsia" w:ascii="宋体" w:hAnsi="宋体"/>
          <w:b/>
          <w:sz w:val="24"/>
          <w:szCs w:val="24"/>
        </w:rPr>
        <w:t>彩云城投公司的融资主要采取什么方式？</w:t>
      </w:r>
    </w:p>
    <w:p w14:paraId="144D24CE">
      <w:pPr>
        <w:pStyle w:val="7"/>
        <w:numPr>
          <w:ilvl w:val="0"/>
          <w:numId w:val="3"/>
        </w:numPr>
        <w:ind w:firstLineChars="0"/>
        <w:rPr>
          <w:rFonts w:ascii="宋体" w:hAnsi="宋体"/>
          <w:b/>
          <w:sz w:val="24"/>
          <w:szCs w:val="24"/>
        </w:rPr>
      </w:pPr>
      <w:r>
        <w:rPr>
          <w:rFonts w:hint="eastAsia" w:ascii="宋体" w:hAnsi="宋体"/>
          <w:b/>
          <w:sz w:val="24"/>
          <w:szCs w:val="24"/>
        </w:rPr>
        <w:t>该公司的债务扩张方式是怎样的？这种债务扩张会带来什么样的结果？</w:t>
      </w:r>
    </w:p>
    <w:p w14:paraId="36FB9CA3">
      <w:pPr>
        <w:pStyle w:val="7"/>
        <w:numPr>
          <w:ilvl w:val="0"/>
          <w:numId w:val="3"/>
        </w:numPr>
        <w:ind w:firstLineChars="0"/>
        <w:rPr>
          <w:rFonts w:ascii="宋体" w:hAnsi="宋体"/>
          <w:b/>
          <w:sz w:val="24"/>
          <w:szCs w:val="24"/>
        </w:rPr>
      </w:pPr>
      <w:r>
        <w:rPr>
          <w:rFonts w:hint="eastAsia" w:ascii="宋体" w:hAnsi="宋体"/>
          <w:b/>
          <w:sz w:val="24"/>
          <w:szCs w:val="24"/>
        </w:rPr>
        <w:t>对于我国房地产企业的借鉴意义？</w:t>
      </w:r>
    </w:p>
    <w:p w14:paraId="78563071">
      <w:pPr>
        <w:spacing w:after="156" w:afterLines="50" w:line="300" w:lineRule="auto"/>
        <w:jc w:val="center"/>
        <w:outlineLvl w:val="0"/>
        <w:rPr>
          <w:rFonts w:ascii="宋体" w:hAnsi="宋体" w:eastAsia="宋体"/>
          <w:b/>
          <w:sz w:val="24"/>
        </w:rPr>
      </w:pPr>
      <w:r>
        <w:rPr>
          <w:rFonts w:ascii="宋体" w:hAnsi="宋体" w:eastAsia="宋体"/>
          <w:b/>
          <w:sz w:val="24"/>
        </w:rPr>
        <w:t xml:space="preserve"> </w:t>
      </w:r>
    </w:p>
    <w:p w14:paraId="662DEE46">
      <w:pPr>
        <w:spacing w:line="300" w:lineRule="auto"/>
        <w:rPr>
          <w:rFonts w:ascii="宋体" w:hAnsi="宋体" w:eastAsia="宋体" w:cs="宋体"/>
          <w:b/>
          <w:color w:val="333333"/>
          <w:kern w:val="0"/>
          <w:sz w:val="24"/>
        </w:rPr>
      </w:pPr>
      <w:r>
        <w:rPr>
          <w:rFonts w:hint="eastAsia" w:ascii="宋体" w:hAnsi="宋体" w:eastAsia="宋体" w:cs="宋体"/>
          <w:b/>
          <w:color w:val="333333"/>
          <w:kern w:val="0"/>
          <w:sz w:val="24"/>
        </w:rPr>
        <w:t>【案例解析】</w:t>
      </w:r>
    </w:p>
    <w:p w14:paraId="326BD045">
      <w:pPr>
        <w:spacing w:line="300" w:lineRule="auto"/>
        <w:rPr>
          <w:rFonts w:ascii="宋体" w:hAnsi="宋体" w:eastAsia="宋体"/>
          <w:b/>
          <w:sz w:val="24"/>
          <w:szCs w:val="24"/>
        </w:rPr>
      </w:pPr>
      <w:r>
        <w:rPr>
          <w:rFonts w:hint="eastAsia" w:ascii="宋体" w:hAnsi="宋体" w:eastAsia="宋体"/>
          <w:b/>
          <w:sz w:val="24"/>
          <w:szCs w:val="24"/>
        </w:rPr>
        <w:t>1、如下表所示为融资方式：</w:t>
      </w:r>
    </w:p>
    <w:tbl>
      <w:tblPr>
        <w:tblStyle w:val="5"/>
        <w:tblW w:w="8332" w:type="dxa"/>
        <w:tblInd w:w="0" w:type="dxa"/>
        <w:tblLayout w:type="autofit"/>
        <w:tblCellMar>
          <w:top w:w="0" w:type="dxa"/>
          <w:left w:w="0" w:type="dxa"/>
          <w:bottom w:w="0" w:type="dxa"/>
          <w:right w:w="0" w:type="dxa"/>
        </w:tblCellMar>
      </w:tblPr>
      <w:tblGrid>
        <w:gridCol w:w="2844"/>
        <w:gridCol w:w="3118"/>
        <w:gridCol w:w="2370"/>
      </w:tblGrid>
      <w:tr w14:paraId="1107F412">
        <w:tblPrEx>
          <w:tblCellMar>
            <w:top w:w="0" w:type="dxa"/>
            <w:left w:w="0" w:type="dxa"/>
            <w:bottom w:w="0" w:type="dxa"/>
            <w:right w:w="0" w:type="dxa"/>
          </w:tblCellMar>
        </w:tblPrEx>
        <w:trPr>
          <w:trHeight w:val="741" w:hRule="atLeast"/>
        </w:trPr>
        <w:tc>
          <w:tcPr>
            <w:tcW w:w="2844" w:type="dxa"/>
            <w:tcBorders>
              <w:top w:val="single" w:color="A5A5A5" w:sz="8" w:space="0"/>
              <w:left w:val="single" w:color="A5A5A5" w:sz="8" w:space="0"/>
              <w:bottom w:val="single" w:color="A5A5A5" w:sz="8" w:space="0"/>
              <w:right w:val="single" w:color="A5A5A5" w:sz="8" w:space="0"/>
            </w:tcBorders>
            <w:shd w:val="clear" w:color="auto" w:fill="FFFFFF" w:themeFill="background1"/>
            <w:tcMar>
              <w:top w:w="15" w:type="dxa"/>
              <w:left w:w="15" w:type="dxa"/>
              <w:bottom w:w="0" w:type="dxa"/>
              <w:right w:w="15" w:type="dxa"/>
            </w:tcMar>
            <w:vAlign w:val="center"/>
          </w:tcPr>
          <w:p w14:paraId="52E32118">
            <w:pPr>
              <w:widowControl/>
              <w:spacing w:line="300" w:lineRule="auto"/>
              <w:jc w:val="center"/>
              <w:textAlignment w:val="center"/>
              <w:rPr>
                <w:rFonts w:ascii="宋体" w:hAnsi="宋体" w:eastAsia="宋体" w:cs="Arial"/>
                <w:kern w:val="0"/>
                <w:sz w:val="24"/>
                <w:szCs w:val="36"/>
              </w:rPr>
            </w:pPr>
            <w:r>
              <w:rPr>
                <w:rFonts w:hint="eastAsia" w:ascii="宋体" w:hAnsi="宋体" w:eastAsia="宋体" w:cs="Arial"/>
                <w:color w:val="000000" w:themeColor="dark1"/>
                <w:kern w:val="24"/>
                <w:sz w:val="24"/>
                <w14:textFill>
                  <w14:solidFill>
                    <w14:schemeClr w14:val="dk1"/>
                  </w14:solidFill>
                </w14:textFill>
              </w:rPr>
              <w:t>融资方式</w:t>
            </w:r>
          </w:p>
        </w:tc>
        <w:tc>
          <w:tcPr>
            <w:tcW w:w="3118" w:type="dxa"/>
            <w:tcBorders>
              <w:top w:val="single" w:color="A5A5A5" w:sz="8" w:space="0"/>
              <w:left w:val="single" w:color="A5A5A5" w:sz="8" w:space="0"/>
              <w:bottom w:val="single" w:color="A5A5A5" w:sz="8" w:space="0"/>
              <w:right w:val="single" w:color="A5A5A5" w:sz="8" w:space="0"/>
            </w:tcBorders>
            <w:shd w:val="clear" w:color="auto" w:fill="FFFFFF" w:themeFill="background1"/>
            <w:tcMar>
              <w:top w:w="15" w:type="dxa"/>
              <w:left w:w="15" w:type="dxa"/>
              <w:bottom w:w="0" w:type="dxa"/>
              <w:right w:w="15" w:type="dxa"/>
            </w:tcMar>
            <w:vAlign w:val="center"/>
          </w:tcPr>
          <w:p w14:paraId="70C2B7E4">
            <w:pPr>
              <w:widowControl/>
              <w:spacing w:line="300" w:lineRule="auto"/>
              <w:jc w:val="center"/>
              <w:textAlignment w:val="center"/>
              <w:rPr>
                <w:rFonts w:ascii="宋体" w:hAnsi="宋体" w:eastAsia="宋体" w:cs="Arial"/>
                <w:kern w:val="0"/>
                <w:sz w:val="24"/>
                <w:szCs w:val="36"/>
              </w:rPr>
            </w:pPr>
            <w:r>
              <w:rPr>
                <w:rFonts w:hint="eastAsia" w:ascii="宋体" w:hAnsi="宋体" w:eastAsia="宋体" w:cs="Arial"/>
                <w:color w:val="000000" w:themeColor="dark1"/>
                <w:kern w:val="24"/>
                <w:sz w:val="24"/>
                <w14:textFill>
                  <w14:solidFill>
                    <w14:schemeClr w14:val="dk1"/>
                  </w14:solidFill>
                </w14:textFill>
              </w:rPr>
              <w:t>融资占比</w:t>
            </w:r>
          </w:p>
        </w:tc>
        <w:tc>
          <w:tcPr>
            <w:tcW w:w="2370" w:type="dxa"/>
            <w:tcBorders>
              <w:top w:val="single" w:color="A5A5A5" w:sz="8" w:space="0"/>
              <w:left w:val="single" w:color="A5A5A5" w:sz="8" w:space="0"/>
              <w:bottom w:val="single" w:color="A5A5A5" w:sz="8" w:space="0"/>
              <w:right w:val="single" w:color="A5A5A5" w:sz="8" w:space="0"/>
            </w:tcBorders>
            <w:shd w:val="clear" w:color="auto" w:fill="FFFFFF" w:themeFill="background1"/>
            <w:tcMar>
              <w:top w:w="15" w:type="dxa"/>
              <w:left w:w="15" w:type="dxa"/>
              <w:bottom w:w="0" w:type="dxa"/>
              <w:right w:w="15" w:type="dxa"/>
            </w:tcMar>
            <w:vAlign w:val="center"/>
          </w:tcPr>
          <w:p w14:paraId="7923E847">
            <w:pPr>
              <w:widowControl/>
              <w:spacing w:line="300" w:lineRule="auto"/>
              <w:jc w:val="center"/>
              <w:textAlignment w:val="center"/>
              <w:rPr>
                <w:rFonts w:ascii="宋体" w:hAnsi="宋体" w:eastAsia="宋体" w:cs="Arial"/>
                <w:kern w:val="0"/>
                <w:sz w:val="24"/>
                <w:szCs w:val="36"/>
              </w:rPr>
            </w:pPr>
            <w:r>
              <w:rPr>
                <w:rFonts w:hint="eastAsia" w:ascii="宋体" w:hAnsi="宋体" w:eastAsia="宋体" w:cs="Arial"/>
                <w:color w:val="000000" w:themeColor="dark1"/>
                <w:kern w:val="24"/>
                <w:sz w:val="24"/>
                <w14:textFill>
                  <w14:solidFill>
                    <w14:schemeClr w14:val="dk1"/>
                  </w14:solidFill>
                </w14:textFill>
              </w:rPr>
              <w:t>融资金额</w:t>
            </w:r>
            <w:r>
              <w:rPr>
                <w:rFonts w:hint="eastAsia" w:ascii="宋体" w:hAnsi="宋体" w:eastAsia="宋体" w:cs="Arial"/>
                <w:color w:val="000000" w:themeColor="dark1"/>
                <w:kern w:val="24"/>
                <w:sz w:val="24"/>
                <w14:textFill>
                  <w14:solidFill>
                    <w14:schemeClr w14:val="dk1"/>
                  </w14:solidFill>
                </w14:textFill>
              </w:rPr>
              <w:br w:type="textWrapping"/>
            </w:r>
            <w:r>
              <w:rPr>
                <w:rFonts w:hint="eastAsia" w:ascii="宋体" w:hAnsi="宋体" w:eastAsia="宋体" w:cs="Arial"/>
                <w:color w:val="000000" w:themeColor="dark1"/>
                <w:kern w:val="24"/>
                <w:sz w:val="24"/>
                <w14:textFill>
                  <w14:solidFill>
                    <w14:schemeClr w14:val="dk1"/>
                  </w14:solidFill>
                </w14:textFill>
              </w:rPr>
              <w:t>万元</w:t>
            </w:r>
          </w:p>
        </w:tc>
      </w:tr>
      <w:tr w14:paraId="3E91D82A">
        <w:tblPrEx>
          <w:tblCellMar>
            <w:top w:w="0" w:type="dxa"/>
            <w:left w:w="0" w:type="dxa"/>
            <w:bottom w:w="0" w:type="dxa"/>
            <w:right w:w="0" w:type="dxa"/>
          </w:tblCellMar>
        </w:tblPrEx>
        <w:trPr>
          <w:trHeight w:val="536" w:hRule="atLeast"/>
        </w:trPr>
        <w:tc>
          <w:tcPr>
            <w:tcW w:w="2844" w:type="dxa"/>
            <w:tcBorders>
              <w:top w:val="single" w:color="A5A5A5" w:sz="8" w:space="0"/>
              <w:left w:val="single" w:color="A5A5A5" w:sz="8" w:space="0"/>
              <w:bottom w:val="single" w:color="A5A5A5" w:sz="8" w:space="0"/>
              <w:right w:val="single" w:color="A5A5A5" w:sz="8" w:space="0"/>
            </w:tcBorders>
            <w:shd w:val="clear" w:color="auto" w:fill="FFFFFF" w:themeFill="background1"/>
            <w:tcMar>
              <w:top w:w="15" w:type="dxa"/>
              <w:left w:w="15" w:type="dxa"/>
              <w:bottom w:w="0" w:type="dxa"/>
              <w:right w:w="15" w:type="dxa"/>
            </w:tcMar>
            <w:vAlign w:val="center"/>
          </w:tcPr>
          <w:p w14:paraId="4CDD7FF2">
            <w:pPr>
              <w:widowControl/>
              <w:spacing w:line="300" w:lineRule="auto"/>
              <w:jc w:val="center"/>
              <w:textAlignment w:val="center"/>
              <w:rPr>
                <w:rFonts w:ascii="宋体" w:hAnsi="宋体" w:eastAsia="宋体" w:cs="Arial"/>
                <w:kern w:val="0"/>
                <w:sz w:val="24"/>
                <w:szCs w:val="36"/>
              </w:rPr>
            </w:pPr>
            <w:r>
              <w:rPr>
                <w:rFonts w:hint="eastAsia" w:ascii="宋体" w:hAnsi="宋体" w:eastAsia="宋体" w:cs="Arial"/>
                <w:color w:val="000000" w:themeColor="dark1"/>
                <w:kern w:val="24"/>
                <w:sz w:val="24"/>
                <w14:textFill>
                  <w14:solidFill>
                    <w14:schemeClr w14:val="dk1"/>
                  </w14:solidFill>
                </w14:textFill>
              </w:rPr>
              <w:t>银行借款</w:t>
            </w:r>
          </w:p>
        </w:tc>
        <w:tc>
          <w:tcPr>
            <w:tcW w:w="3118" w:type="dxa"/>
            <w:tcBorders>
              <w:top w:val="single" w:color="A5A5A5" w:sz="8" w:space="0"/>
              <w:left w:val="single" w:color="A5A5A5" w:sz="8" w:space="0"/>
              <w:bottom w:val="single" w:color="A5A5A5" w:sz="8" w:space="0"/>
              <w:right w:val="single" w:color="A5A5A5" w:sz="8" w:space="0"/>
            </w:tcBorders>
            <w:shd w:val="clear" w:color="auto" w:fill="FFFFFF" w:themeFill="background1"/>
            <w:tcMar>
              <w:top w:w="15" w:type="dxa"/>
              <w:left w:w="15" w:type="dxa"/>
              <w:bottom w:w="0" w:type="dxa"/>
              <w:right w:w="15" w:type="dxa"/>
            </w:tcMar>
            <w:vAlign w:val="center"/>
          </w:tcPr>
          <w:p w14:paraId="5352BE36">
            <w:pPr>
              <w:keepNext w:val="0"/>
              <w:keepLines w:val="0"/>
              <w:widowControl/>
              <w:suppressLineNumbers w:val="0"/>
              <w:jc w:val="center"/>
              <w:textAlignment w:val="center"/>
              <w:rPr>
                <w:rFonts w:ascii="宋体" w:hAnsi="宋体" w:eastAsia="宋体" w:cs="Arial"/>
                <w:kern w:val="0"/>
                <w:sz w:val="24"/>
                <w:szCs w:val="24"/>
                <w:highlight w:val="green"/>
              </w:rPr>
            </w:pPr>
            <w:r>
              <w:rPr>
                <w:rFonts w:hint="eastAsia" w:ascii="宋体" w:hAnsi="宋体" w:eastAsia="宋体" w:cs="宋体"/>
                <w:i w:val="0"/>
                <w:iCs w:val="0"/>
                <w:color w:val="000000"/>
                <w:kern w:val="0"/>
                <w:sz w:val="24"/>
                <w:szCs w:val="24"/>
                <w:highlight w:val="green"/>
                <w:u w:val="none"/>
                <w:lang w:val="en-US" w:eastAsia="zh-CN" w:bidi="ar"/>
              </w:rPr>
              <w:t>1.05%</w:t>
            </w:r>
          </w:p>
        </w:tc>
        <w:tc>
          <w:tcPr>
            <w:tcW w:w="2370" w:type="dxa"/>
            <w:tcBorders>
              <w:top w:val="single" w:color="A5A5A5" w:sz="8" w:space="0"/>
              <w:left w:val="single" w:color="A5A5A5" w:sz="8" w:space="0"/>
              <w:bottom w:val="single" w:color="A5A5A5" w:sz="8" w:space="0"/>
              <w:right w:val="single" w:color="A5A5A5" w:sz="8" w:space="0"/>
            </w:tcBorders>
            <w:shd w:val="clear" w:color="auto" w:fill="FFFFFF" w:themeFill="background1"/>
            <w:tcMar>
              <w:top w:w="15" w:type="dxa"/>
              <w:left w:w="15" w:type="dxa"/>
              <w:bottom w:w="0" w:type="dxa"/>
              <w:right w:w="15" w:type="dxa"/>
            </w:tcMar>
            <w:vAlign w:val="center"/>
          </w:tcPr>
          <w:p w14:paraId="042B9B3C">
            <w:pPr>
              <w:widowControl/>
              <w:spacing w:line="300" w:lineRule="auto"/>
              <w:jc w:val="center"/>
              <w:textAlignment w:val="center"/>
              <w:rPr>
                <w:rFonts w:hint="default" w:ascii="宋体" w:hAnsi="宋体" w:eastAsia="宋体" w:cs="Arial"/>
                <w:kern w:val="0"/>
                <w:sz w:val="24"/>
                <w:szCs w:val="36"/>
                <w:lang w:val="en-US" w:eastAsia="zh-CN"/>
              </w:rPr>
            </w:pPr>
            <w:r>
              <w:rPr>
                <w:rFonts w:hint="eastAsia" w:ascii="宋体" w:hAnsi="宋体" w:eastAsia="宋体" w:cs="Arial"/>
                <w:color w:val="000000" w:themeColor="dark1"/>
                <w:kern w:val="24"/>
                <w:sz w:val="24"/>
                <w:highlight w:val="green"/>
                <w:lang w:val="en-US" w:eastAsia="zh-CN"/>
                <w14:textFill>
                  <w14:solidFill>
                    <w14:schemeClr w14:val="dk1"/>
                  </w14:solidFill>
                </w14:textFill>
              </w:rPr>
              <w:t>23,400</w:t>
            </w:r>
          </w:p>
        </w:tc>
      </w:tr>
      <w:tr w14:paraId="1A86B2B2">
        <w:tblPrEx>
          <w:tblCellMar>
            <w:top w:w="0" w:type="dxa"/>
            <w:left w:w="0" w:type="dxa"/>
            <w:bottom w:w="0" w:type="dxa"/>
            <w:right w:w="0" w:type="dxa"/>
          </w:tblCellMar>
        </w:tblPrEx>
        <w:trPr>
          <w:trHeight w:val="536" w:hRule="atLeast"/>
        </w:trPr>
        <w:tc>
          <w:tcPr>
            <w:tcW w:w="2844" w:type="dxa"/>
            <w:tcBorders>
              <w:top w:val="single" w:color="A5A5A5" w:sz="8" w:space="0"/>
              <w:left w:val="single" w:color="A5A5A5" w:sz="8" w:space="0"/>
              <w:bottom w:val="single" w:color="A5A5A5" w:sz="8" w:space="0"/>
              <w:right w:val="single" w:color="A5A5A5" w:sz="8" w:space="0"/>
            </w:tcBorders>
            <w:shd w:val="clear" w:color="auto" w:fill="FFFFFF" w:themeFill="background1"/>
            <w:tcMar>
              <w:top w:w="15" w:type="dxa"/>
              <w:left w:w="15" w:type="dxa"/>
              <w:bottom w:w="0" w:type="dxa"/>
              <w:right w:w="15" w:type="dxa"/>
            </w:tcMar>
            <w:vAlign w:val="center"/>
          </w:tcPr>
          <w:p w14:paraId="23D0B6C3">
            <w:pPr>
              <w:widowControl/>
              <w:spacing w:line="300" w:lineRule="auto"/>
              <w:jc w:val="center"/>
              <w:textAlignment w:val="center"/>
              <w:rPr>
                <w:rFonts w:ascii="宋体" w:hAnsi="宋体" w:eastAsia="宋体" w:cs="Arial"/>
                <w:kern w:val="0"/>
                <w:sz w:val="24"/>
                <w:szCs w:val="36"/>
              </w:rPr>
            </w:pPr>
            <w:r>
              <w:rPr>
                <w:rFonts w:hint="eastAsia" w:ascii="宋体" w:hAnsi="宋体" w:eastAsia="宋体" w:cs="Arial"/>
                <w:color w:val="000000" w:themeColor="dark1"/>
                <w:kern w:val="24"/>
                <w:sz w:val="24"/>
                <w14:textFill>
                  <w14:solidFill>
                    <w14:schemeClr w14:val="dk1"/>
                  </w14:solidFill>
                </w14:textFill>
              </w:rPr>
              <w:t>发行股票</w:t>
            </w:r>
          </w:p>
        </w:tc>
        <w:tc>
          <w:tcPr>
            <w:tcW w:w="3118" w:type="dxa"/>
            <w:tcBorders>
              <w:top w:val="single" w:color="A5A5A5" w:sz="8" w:space="0"/>
              <w:left w:val="single" w:color="A5A5A5" w:sz="8" w:space="0"/>
              <w:bottom w:val="single" w:color="A5A5A5" w:sz="8" w:space="0"/>
              <w:right w:val="single" w:color="A5A5A5" w:sz="8" w:space="0"/>
            </w:tcBorders>
            <w:shd w:val="clear" w:color="auto" w:fill="FFFFFF" w:themeFill="background1"/>
            <w:tcMar>
              <w:top w:w="15" w:type="dxa"/>
              <w:left w:w="15" w:type="dxa"/>
              <w:bottom w:w="0" w:type="dxa"/>
              <w:right w:w="15" w:type="dxa"/>
            </w:tcMar>
            <w:vAlign w:val="center"/>
          </w:tcPr>
          <w:p w14:paraId="5DC8A30E">
            <w:pPr>
              <w:keepNext w:val="0"/>
              <w:keepLines w:val="0"/>
              <w:widowControl/>
              <w:suppressLineNumbers w:val="0"/>
              <w:jc w:val="center"/>
              <w:textAlignment w:val="center"/>
              <w:rPr>
                <w:rFonts w:ascii="宋体" w:hAnsi="宋体" w:eastAsia="宋体" w:cs="Arial"/>
                <w:kern w:val="0"/>
                <w:sz w:val="24"/>
                <w:szCs w:val="24"/>
                <w:highlight w:val="green"/>
              </w:rPr>
            </w:pPr>
            <w:r>
              <w:rPr>
                <w:rFonts w:hint="eastAsia" w:ascii="宋体" w:hAnsi="宋体" w:eastAsia="宋体" w:cs="宋体"/>
                <w:i w:val="0"/>
                <w:iCs w:val="0"/>
                <w:color w:val="000000"/>
                <w:kern w:val="0"/>
                <w:sz w:val="24"/>
                <w:szCs w:val="24"/>
                <w:highlight w:val="green"/>
                <w:u w:val="none"/>
                <w:lang w:val="en-US" w:eastAsia="zh-CN" w:bidi="ar"/>
              </w:rPr>
              <w:t>11.80%</w:t>
            </w:r>
          </w:p>
        </w:tc>
        <w:tc>
          <w:tcPr>
            <w:tcW w:w="2370" w:type="dxa"/>
            <w:tcBorders>
              <w:top w:val="single" w:color="A5A5A5" w:sz="8" w:space="0"/>
              <w:left w:val="single" w:color="A5A5A5" w:sz="8" w:space="0"/>
              <w:bottom w:val="single" w:color="A5A5A5" w:sz="8" w:space="0"/>
              <w:right w:val="single" w:color="A5A5A5" w:sz="8" w:space="0"/>
            </w:tcBorders>
            <w:shd w:val="clear" w:color="auto" w:fill="FFFFFF" w:themeFill="background1"/>
            <w:tcMar>
              <w:top w:w="15" w:type="dxa"/>
              <w:left w:w="15" w:type="dxa"/>
              <w:bottom w:w="0" w:type="dxa"/>
              <w:right w:w="15" w:type="dxa"/>
            </w:tcMar>
            <w:vAlign w:val="center"/>
          </w:tcPr>
          <w:p w14:paraId="14817411">
            <w:pPr>
              <w:widowControl/>
              <w:spacing w:line="300" w:lineRule="auto"/>
              <w:jc w:val="center"/>
              <w:textAlignment w:val="center"/>
              <w:rPr>
                <w:rFonts w:hint="default" w:ascii="宋体" w:hAnsi="宋体" w:eastAsia="宋体" w:cs="Arial"/>
                <w:kern w:val="0"/>
                <w:sz w:val="24"/>
                <w:szCs w:val="36"/>
                <w:lang w:val="en-US" w:eastAsia="zh-CN"/>
              </w:rPr>
            </w:pPr>
            <w:r>
              <w:rPr>
                <w:rFonts w:hint="eastAsia" w:ascii="宋体" w:hAnsi="宋体" w:eastAsia="宋体" w:cs="Arial"/>
                <w:color w:val="000000" w:themeColor="dark1"/>
                <w:kern w:val="24"/>
                <w:sz w:val="24"/>
                <w:highlight w:val="green"/>
                <w:lang w:val="en-US" w:eastAsia="zh-CN"/>
                <w14:textFill>
                  <w14:solidFill>
                    <w14:schemeClr w14:val="dk1"/>
                  </w14:solidFill>
                </w14:textFill>
              </w:rPr>
              <w:t>262,121.84</w:t>
            </w:r>
          </w:p>
        </w:tc>
      </w:tr>
      <w:tr w14:paraId="095613B1">
        <w:tblPrEx>
          <w:tblCellMar>
            <w:top w:w="0" w:type="dxa"/>
            <w:left w:w="0" w:type="dxa"/>
            <w:bottom w:w="0" w:type="dxa"/>
            <w:right w:w="0" w:type="dxa"/>
          </w:tblCellMar>
        </w:tblPrEx>
        <w:trPr>
          <w:trHeight w:val="536" w:hRule="atLeast"/>
        </w:trPr>
        <w:tc>
          <w:tcPr>
            <w:tcW w:w="2844" w:type="dxa"/>
            <w:tcBorders>
              <w:top w:val="single" w:color="A5A5A5" w:sz="8" w:space="0"/>
              <w:left w:val="single" w:color="A5A5A5" w:sz="8" w:space="0"/>
              <w:bottom w:val="single" w:color="A5A5A5" w:sz="8" w:space="0"/>
              <w:right w:val="single" w:color="A5A5A5" w:sz="8" w:space="0"/>
            </w:tcBorders>
            <w:shd w:val="clear" w:color="auto" w:fill="FFFFFF" w:themeFill="background1"/>
            <w:tcMar>
              <w:top w:w="15" w:type="dxa"/>
              <w:left w:w="15" w:type="dxa"/>
              <w:bottom w:w="0" w:type="dxa"/>
              <w:right w:w="15" w:type="dxa"/>
            </w:tcMar>
            <w:vAlign w:val="center"/>
          </w:tcPr>
          <w:p w14:paraId="546F5241">
            <w:pPr>
              <w:widowControl/>
              <w:spacing w:line="300" w:lineRule="auto"/>
              <w:jc w:val="center"/>
              <w:textAlignment w:val="center"/>
              <w:rPr>
                <w:rFonts w:ascii="宋体" w:hAnsi="宋体" w:eastAsia="宋体" w:cs="Arial"/>
                <w:kern w:val="0"/>
                <w:sz w:val="24"/>
                <w:szCs w:val="36"/>
              </w:rPr>
            </w:pPr>
            <w:r>
              <w:rPr>
                <w:rFonts w:hint="eastAsia" w:ascii="宋体" w:hAnsi="宋体" w:eastAsia="宋体" w:cs="Arial"/>
                <w:color w:val="000000" w:themeColor="dark1"/>
                <w:kern w:val="24"/>
                <w:sz w:val="24"/>
                <w14:textFill>
                  <w14:solidFill>
                    <w14:schemeClr w14:val="dk1"/>
                  </w14:solidFill>
                </w14:textFill>
              </w:rPr>
              <w:t>发行证券</w:t>
            </w:r>
          </w:p>
        </w:tc>
        <w:tc>
          <w:tcPr>
            <w:tcW w:w="3118" w:type="dxa"/>
            <w:tcBorders>
              <w:top w:val="single" w:color="A5A5A5" w:sz="8" w:space="0"/>
              <w:left w:val="single" w:color="A5A5A5" w:sz="8" w:space="0"/>
              <w:bottom w:val="single" w:color="A5A5A5" w:sz="8" w:space="0"/>
              <w:right w:val="single" w:color="A5A5A5" w:sz="8" w:space="0"/>
            </w:tcBorders>
            <w:shd w:val="clear" w:color="auto" w:fill="FFFFFF" w:themeFill="background1"/>
            <w:tcMar>
              <w:top w:w="15" w:type="dxa"/>
              <w:left w:w="15" w:type="dxa"/>
              <w:bottom w:w="0" w:type="dxa"/>
              <w:right w:w="15" w:type="dxa"/>
            </w:tcMar>
            <w:vAlign w:val="center"/>
          </w:tcPr>
          <w:p w14:paraId="4BDAD2C2">
            <w:pPr>
              <w:keepNext w:val="0"/>
              <w:keepLines w:val="0"/>
              <w:widowControl/>
              <w:suppressLineNumbers w:val="0"/>
              <w:jc w:val="center"/>
              <w:textAlignment w:val="center"/>
              <w:rPr>
                <w:rFonts w:ascii="宋体" w:hAnsi="宋体" w:eastAsia="宋体" w:cs="Arial"/>
                <w:kern w:val="0"/>
                <w:sz w:val="24"/>
                <w:szCs w:val="24"/>
                <w:highlight w:val="green"/>
              </w:rPr>
            </w:pPr>
            <w:r>
              <w:rPr>
                <w:rFonts w:hint="eastAsia" w:ascii="宋体" w:hAnsi="宋体" w:eastAsia="宋体" w:cs="宋体"/>
                <w:i w:val="0"/>
                <w:iCs w:val="0"/>
                <w:color w:val="000000"/>
                <w:kern w:val="0"/>
                <w:sz w:val="24"/>
                <w:szCs w:val="24"/>
                <w:highlight w:val="green"/>
                <w:u w:val="none"/>
                <w:lang w:val="en-US" w:eastAsia="zh-CN" w:bidi="ar"/>
              </w:rPr>
              <w:t>39.09%</w:t>
            </w:r>
          </w:p>
        </w:tc>
        <w:tc>
          <w:tcPr>
            <w:tcW w:w="2370" w:type="dxa"/>
            <w:tcBorders>
              <w:top w:val="single" w:color="A5A5A5" w:sz="8" w:space="0"/>
              <w:left w:val="single" w:color="A5A5A5" w:sz="8" w:space="0"/>
              <w:bottom w:val="single" w:color="A5A5A5" w:sz="8" w:space="0"/>
              <w:right w:val="single" w:color="A5A5A5" w:sz="8" w:space="0"/>
            </w:tcBorders>
            <w:shd w:val="clear" w:color="auto" w:fill="FFFFFF" w:themeFill="background1"/>
            <w:tcMar>
              <w:top w:w="15" w:type="dxa"/>
              <w:left w:w="15" w:type="dxa"/>
              <w:bottom w:w="0" w:type="dxa"/>
              <w:right w:w="15" w:type="dxa"/>
            </w:tcMar>
            <w:vAlign w:val="center"/>
          </w:tcPr>
          <w:p w14:paraId="440B2BE3">
            <w:pPr>
              <w:widowControl/>
              <w:spacing w:line="300" w:lineRule="auto"/>
              <w:jc w:val="center"/>
              <w:textAlignment w:val="center"/>
              <w:rPr>
                <w:rFonts w:hint="default" w:ascii="宋体" w:hAnsi="宋体" w:eastAsia="宋体" w:cs="Arial"/>
                <w:kern w:val="0"/>
                <w:sz w:val="24"/>
                <w:szCs w:val="36"/>
                <w:lang w:val="en-US" w:eastAsia="zh-CN"/>
              </w:rPr>
            </w:pPr>
            <w:r>
              <w:rPr>
                <w:rFonts w:hint="eastAsia" w:ascii="宋体" w:hAnsi="宋体" w:eastAsia="宋体" w:cs="Arial"/>
                <w:color w:val="000000" w:themeColor="dark1"/>
                <w:kern w:val="24"/>
                <w:sz w:val="24"/>
                <w:highlight w:val="green"/>
                <w:lang w:val="en-US" w:eastAsia="zh-CN"/>
                <w14:textFill>
                  <w14:solidFill>
                    <w14:schemeClr w14:val="dk1"/>
                  </w14:solidFill>
                </w14:textFill>
              </w:rPr>
              <w:t>868,000</w:t>
            </w:r>
          </w:p>
        </w:tc>
      </w:tr>
      <w:tr w14:paraId="258E87CD">
        <w:tblPrEx>
          <w:tblCellMar>
            <w:top w:w="0" w:type="dxa"/>
            <w:left w:w="0" w:type="dxa"/>
            <w:bottom w:w="0" w:type="dxa"/>
            <w:right w:w="0" w:type="dxa"/>
          </w:tblCellMar>
        </w:tblPrEx>
        <w:trPr>
          <w:trHeight w:val="536" w:hRule="atLeast"/>
        </w:trPr>
        <w:tc>
          <w:tcPr>
            <w:tcW w:w="2844" w:type="dxa"/>
            <w:tcBorders>
              <w:top w:val="single" w:color="A5A5A5" w:sz="8" w:space="0"/>
              <w:left w:val="single" w:color="A5A5A5" w:sz="8" w:space="0"/>
              <w:bottom w:val="single" w:color="A5A5A5" w:sz="8" w:space="0"/>
              <w:right w:val="single" w:color="A5A5A5" w:sz="8" w:space="0"/>
            </w:tcBorders>
            <w:shd w:val="clear" w:color="auto" w:fill="FFFFFF" w:themeFill="background1"/>
            <w:tcMar>
              <w:top w:w="15" w:type="dxa"/>
              <w:left w:w="15" w:type="dxa"/>
              <w:bottom w:w="0" w:type="dxa"/>
              <w:right w:w="15" w:type="dxa"/>
            </w:tcMar>
            <w:vAlign w:val="center"/>
          </w:tcPr>
          <w:p w14:paraId="54FCDCBF">
            <w:pPr>
              <w:widowControl/>
              <w:spacing w:line="300" w:lineRule="auto"/>
              <w:jc w:val="center"/>
              <w:textAlignment w:val="center"/>
              <w:rPr>
                <w:rFonts w:ascii="宋体" w:hAnsi="宋体" w:eastAsia="宋体" w:cs="Arial"/>
                <w:kern w:val="0"/>
                <w:sz w:val="24"/>
                <w:szCs w:val="36"/>
              </w:rPr>
            </w:pPr>
            <w:r>
              <w:rPr>
                <w:rFonts w:hint="eastAsia" w:ascii="宋体" w:hAnsi="宋体" w:eastAsia="宋体" w:cs="Arial"/>
                <w:color w:val="000000" w:themeColor="dark1"/>
                <w:kern w:val="24"/>
                <w:sz w:val="24"/>
                <w14:textFill>
                  <w14:solidFill>
                    <w14:schemeClr w14:val="dk1"/>
                  </w14:solidFill>
                </w14:textFill>
              </w:rPr>
              <w:t>信托融资</w:t>
            </w:r>
          </w:p>
        </w:tc>
        <w:tc>
          <w:tcPr>
            <w:tcW w:w="3118" w:type="dxa"/>
            <w:tcBorders>
              <w:top w:val="single" w:color="A5A5A5" w:sz="8" w:space="0"/>
              <w:left w:val="single" w:color="A5A5A5" w:sz="8" w:space="0"/>
              <w:bottom w:val="single" w:color="A5A5A5" w:sz="8" w:space="0"/>
              <w:right w:val="single" w:color="A5A5A5" w:sz="8" w:space="0"/>
            </w:tcBorders>
            <w:shd w:val="clear" w:color="auto" w:fill="FFFFFF" w:themeFill="background1"/>
            <w:tcMar>
              <w:top w:w="15" w:type="dxa"/>
              <w:left w:w="15" w:type="dxa"/>
              <w:bottom w:w="0" w:type="dxa"/>
              <w:right w:w="15" w:type="dxa"/>
            </w:tcMar>
            <w:vAlign w:val="center"/>
          </w:tcPr>
          <w:p w14:paraId="41054023">
            <w:pPr>
              <w:keepNext w:val="0"/>
              <w:keepLines w:val="0"/>
              <w:widowControl/>
              <w:suppressLineNumbers w:val="0"/>
              <w:jc w:val="center"/>
              <w:textAlignment w:val="center"/>
              <w:rPr>
                <w:rFonts w:ascii="宋体" w:hAnsi="宋体" w:eastAsia="宋体" w:cs="Arial"/>
                <w:kern w:val="0"/>
                <w:sz w:val="24"/>
                <w:szCs w:val="24"/>
                <w:highlight w:val="green"/>
              </w:rPr>
            </w:pPr>
            <w:r>
              <w:rPr>
                <w:rFonts w:hint="eastAsia" w:ascii="宋体" w:hAnsi="宋体" w:eastAsia="宋体" w:cs="宋体"/>
                <w:i w:val="0"/>
                <w:iCs w:val="0"/>
                <w:color w:val="000000"/>
                <w:kern w:val="0"/>
                <w:sz w:val="24"/>
                <w:szCs w:val="24"/>
                <w:highlight w:val="green"/>
                <w:u w:val="none"/>
                <w:lang w:val="en-US" w:eastAsia="zh-CN" w:bidi="ar"/>
              </w:rPr>
              <w:t>48.05%</w:t>
            </w:r>
          </w:p>
        </w:tc>
        <w:tc>
          <w:tcPr>
            <w:tcW w:w="2370" w:type="dxa"/>
            <w:tcBorders>
              <w:top w:val="single" w:color="A5A5A5" w:sz="8" w:space="0"/>
              <w:left w:val="single" w:color="A5A5A5" w:sz="8" w:space="0"/>
              <w:bottom w:val="single" w:color="A5A5A5" w:sz="8" w:space="0"/>
              <w:right w:val="single" w:color="A5A5A5" w:sz="8" w:space="0"/>
            </w:tcBorders>
            <w:shd w:val="clear" w:color="auto" w:fill="FFFFFF" w:themeFill="background1"/>
            <w:tcMar>
              <w:top w:w="15" w:type="dxa"/>
              <w:left w:w="15" w:type="dxa"/>
              <w:bottom w:w="0" w:type="dxa"/>
              <w:right w:w="15" w:type="dxa"/>
            </w:tcMar>
            <w:vAlign w:val="center"/>
          </w:tcPr>
          <w:p w14:paraId="12A12314">
            <w:pPr>
              <w:widowControl/>
              <w:spacing w:line="300" w:lineRule="auto"/>
              <w:jc w:val="center"/>
              <w:textAlignment w:val="center"/>
              <w:rPr>
                <w:rFonts w:ascii="宋体" w:hAnsi="宋体" w:eastAsia="宋体" w:cs="Arial"/>
                <w:kern w:val="0"/>
                <w:sz w:val="24"/>
                <w:szCs w:val="36"/>
              </w:rPr>
            </w:pPr>
            <w:r>
              <w:rPr>
                <w:rFonts w:hint="eastAsia" w:ascii="宋体" w:hAnsi="宋体" w:eastAsia="宋体" w:cs="Arial"/>
                <w:color w:val="000000" w:themeColor="dark1"/>
                <w:kern w:val="24"/>
                <w:sz w:val="24"/>
                <w:highlight w:val="green"/>
                <w14:textFill>
                  <w14:solidFill>
                    <w14:schemeClr w14:val="dk1"/>
                  </w14:solidFill>
                </w14:textFill>
              </w:rPr>
              <w:t>1,067,000</w:t>
            </w:r>
          </w:p>
        </w:tc>
      </w:tr>
    </w:tbl>
    <w:p w14:paraId="0C77E086">
      <w:pPr>
        <w:spacing w:line="300" w:lineRule="auto"/>
        <w:jc w:val="center"/>
        <w:rPr>
          <w:rFonts w:ascii="宋体" w:hAnsi="宋体" w:eastAsia="宋体"/>
          <w:b/>
          <w:sz w:val="24"/>
          <w:szCs w:val="24"/>
        </w:rPr>
      </w:pPr>
    </w:p>
    <w:p w14:paraId="42F4A018">
      <w:pPr>
        <w:spacing w:line="300" w:lineRule="auto"/>
        <w:rPr>
          <w:rFonts w:ascii="宋体" w:hAnsi="宋体" w:eastAsia="宋体"/>
          <w:b/>
          <w:sz w:val="24"/>
          <w:szCs w:val="24"/>
        </w:rPr>
      </w:pPr>
      <w:r>
        <w:rPr>
          <w:rFonts w:hint="eastAsia" w:ascii="宋体" w:hAnsi="宋体" w:eastAsia="宋体"/>
          <w:b/>
          <w:sz w:val="24"/>
          <w:szCs w:val="24"/>
        </w:rPr>
        <w:t>2、解答如下：</w:t>
      </w:r>
    </w:p>
    <w:p w14:paraId="1B2DBC66">
      <w:pPr>
        <w:spacing w:line="300" w:lineRule="auto"/>
        <w:rPr>
          <w:rFonts w:ascii="宋体" w:hAnsi="宋体" w:eastAsia="宋体"/>
          <w:b/>
        </w:rPr>
      </w:pPr>
      <w:r>
        <w:rPr>
          <w:rFonts w:hint="eastAsia" w:ascii="宋体" w:hAnsi="宋体" w:eastAsia="宋体"/>
          <w:sz w:val="24"/>
          <w:szCs w:val="24"/>
        </w:rPr>
        <w:t>（1）扩张方式：以土地使用权作为抵押担保或者彩云大股东提供连带责任担保。</w:t>
      </w:r>
    </w:p>
    <w:p w14:paraId="665D5C33">
      <w:pPr>
        <w:spacing w:line="300" w:lineRule="auto"/>
        <w:rPr>
          <w:rFonts w:ascii="宋体" w:hAnsi="宋体" w:eastAsia="宋体"/>
          <w:sz w:val="24"/>
          <w:szCs w:val="24"/>
        </w:rPr>
      </w:pPr>
      <w:r>
        <w:rPr>
          <w:rFonts w:hint="eastAsia" w:ascii="宋体" w:hAnsi="宋体" w:eastAsia="宋体"/>
          <w:sz w:val="24"/>
          <w:szCs w:val="24"/>
        </w:rPr>
        <w:t>（2）造成后果：债务筹资成本高，会形成企业的固定负担；降低公司的投资能力，控制其投资冲动，保护投资者权益，而房地产行业，有投资才有高回报；公司的债务负担，债务支出减少了公司的现金流量，降低了公司从事投资的选择空间；债务约束加重了公司破产的可能；。</w:t>
      </w:r>
    </w:p>
    <w:p w14:paraId="42B210F0">
      <w:pPr>
        <w:spacing w:line="300" w:lineRule="auto"/>
        <w:rPr>
          <w:rFonts w:ascii="宋体" w:hAnsi="宋体" w:eastAsia="宋体"/>
          <w:sz w:val="24"/>
          <w:szCs w:val="24"/>
        </w:rPr>
      </w:pPr>
    </w:p>
    <w:p w14:paraId="07706D16">
      <w:pPr>
        <w:spacing w:line="300" w:lineRule="auto"/>
        <w:rPr>
          <w:rFonts w:ascii="宋体" w:hAnsi="宋体" w:eastAsia="宋体"/>
          <w:b/>
          <w:sz w:val="24"/>
          <w:szCs w:val="24"/>
        </w:rPr>
      </w:pPr>
      <w:r>
        <w:rPr>
          <w:rFonts w:hint="eastAsia" w:ascii="宋体" w:hAnsi="宋体" w:eastAsia="宋体"/>
          <w:b/>
          <w:sz w:val="24"/>
          <w:szCs w:val="24"/>
        </w:rPr>
        <w:t>3、启示如下：</w:t>
      </w:r>
    </w:p>
    <w:p w14:paraId="40D7FEE9">
      <w:pPr>
        <w:spacing w:line="300" w:lineRule="auto"/>
        <w:rPr>
          <w:rFonts w:ascii="宋体" w:hAnsi="宋体" w:eastAsia="宋体"/>
          <w:sz w:val="24"/>
          <w:szCs w:val="24"/>
        </w:rPr>
      </w:pPr>
      <w:r>
        <w:rPr>
          <w:rFonts w:hint="eastAsia" w:ascii="宋体" w:hAnsi="宋体" w:eastAsia="宋体"/>
          <w:sz w:val="24"/>
          <w:szCs w:val="24"/>
        </w:rPr>
        <w:t>（1）</w:t>
      </w:r>
      <w:r>
        <w:rPr>
          <w:rFonts w:ascii="宋体" w:hAnsi="宋体" w:eastAsia="宋体"/>
          <w:sz w:val="24"/>
          <w:szCs w:val="24"/>
        </w:rPr>
        <w:t>负债扩大，到期兑付压力大，对企业经营产生长期的资金压力。逾期会影响信用评级，增加今后融资的成本。如无法化解，会导致严重的经营问题如重组、破产等。</w:t>
      </w:r>
    </w:p>
    <w:p w14:paraId="37D91CDB">
      <w:pPr>
        <w:spacing w:line="300" w:lineRule="auto"/>
        <w:rPr>
          <w:rFonts w:ascii="宋体" w:hAnsi="宋体" w:eastAsia="宋体"/>
          <w:sz w:val="24"/>
          <w:szCs w:val="24"/>
        </w:rPr>
      </w:pPr>
    </w:p>
    <w:p w14:paraId="2A91569F">
      <w:pPr>
        <w:spacing w:line="300" w:lineRule="auto"/>
        <w:rPr>
          <w:rFonts w:ascii="宋体" w:hAnsi="宋体" w:eastAsia="宋体"/>
          <w:sz w:val="24"/>
          <w:szCs w:val="24"/>
        </w:rPr>
      </w:pPr>
      <w:r>
        <w:rPr>
          <w:rFonts w:hint="eastAsia" w:ascii="宋体" w:hAnsi="宋体" w:eastAsia="宋体"/>
          <w:sz w:val="24"/>
          <w:szCs w:val="24"/>
        </w:rPr>
        <w:t>（2）企业为加速回款，会压缩项目建设周期，影响产品质量，损害企业商誉等无形资产和长期品牌价值。</w:t>
      </w:r>
    </w:p>
    <w:p w14:paraId="456A7857">
      <w:pPr>
        <w:spacing w:line="300" w:lineRule="auto"/>
        <w:rPr>
          <w:rFonts w:ascii="宋体" w:hAnsi="宋体" w:eastAsia="宋体"/>
          <w:sz w:val="24"/>
          <w:szCs w:val="24"/>
        </w:rPr>
      </w:pPr>
    </w:p>
    <w:p w14:paraId="35E09C8E">
      <w:pPr>
        <w:spacing w:line="300" w:lineRule="auto"/>
        <w:rPr>
          <w:rFonts w:ascii="宋体" w:hAnsi="宋体" w:eastAsia="宋体"/>
          <w:sz w:val="24"/>
          <w:szCs w:val="24"/>
        </w:rPr>
      </w:pPr>
      <w:r>
        <w:rPr>
          <w:rFonts w:hint="eastAsia" w:ascii="宋体" w:hAnsi="宋体" w:eastAsia="宋体"/>
          <w:sz w:val="24"/>
          <w:szCs w:val="24"/>
        </w:rPr>
        <w:t>（3）负债扩大需警惕是否用在主营业务，多数房企负债用于扩张版图投资其他项目并未用于主营业务，新业务风险大，易引起亏损。</w:t>
      </w:r>
    </w:p>
    <w:p w14:paraId="00FB2097">
      <w:pPr>
        <w:spacing w:line="300" w:lineRule="auto"/>
        <w:rPr>
          <w:rFonts w:ascii="宋体" w:hAnsi="宋体" w:eastAsia="宋体"/>
          <w:sz w:val="24"/>
          <w:szCs w:val="24"/>
        </w:rPr>
      </w:pPr>
    </w:p>
    <w:p w14:paraId="02C1D252">
      <w:pPr>
        <w:spacing w:line="300" w:lineRule="auto"/>
        <w:rPr>
          <w:rFonts w:ascii="宋体" w:hAnsi="宋体" w:eastAsia="宋体"/>
          <w:sz w:val="24"/>
          <w:szCs w:val="24"/>
        </w:rPr>
      </w:pPr>
      <w:r>
        <w:rPr>
          <w:rFonts w:hint="eastAsia" w:ascii="宋体" w:hAnsi="宋体" w:eastAsia="宋体"/>
          <w:sz w:val="24"/>
          <w:szCs w:val="24"/>
        </w:rPr>
        <w:t>（4）目前，商业银行谨慎投放房地产开发贷款，减少政信类平台融资，央行要求每月按揭贷款投放不得高于上月等政策都在严格落实房住不炒，在此形势下，</w:t>
      </w:r>
      <w:r>
        <w:rPr>
          <w:rFonts w:ascii="宋体" w:hAnsi="宋体" w:eastAsia="宋体"/>
          <w:sz w:val="24"/>
          <w:szCs w:val="24"/>
        </w:rPr>
        <w:t>2019年超过500家房企退出市场。头部企业抵御风险能力强，但仍需警惕银行抽贷对持续经营带来的影响。</w:t>
      </w:r>
    </w:p>
    <w:p w14:paraId="527C2C4C">
      <w:pPr>
        <w:spacing w:line="300" w:lineRule="auto"/>
        <w:rPr>
          <w:rFonts w:ascii="宋体" w:hAnsi="宋体" w:eastAsia="宋体"/>
          <w:sz w:val="24"/>
          <w:szCs w:val="24"/>
        </w:rPr>
      </w:pPr>
    </w:p>
    <w:p w14:paraId="26DEBBF7">
      <w:pPr>
        <w:spacing w:line="300" w:lineRule="auto"/>
        <w:rPr>
          <w:rFonts w:ascii="宋体" w:hAnsi="宋体" w:eastAsia="宋体"/>
          <w:sz w:val="24"/>
          <w:szCs w:val="24"/>
        </w:rPr>
      </w:pPr>
      <w:r>
        <w:rPr>
          <w:rFonts w:hint="eastAsia" w:ascii="宋体" w:hAnsi="宋体" w:eastAsia="宋体"/>
          <w:sz w:val="24"/>
          <w:szCs w:val="24"/>
        </w:rPr>
        <w:t>（5）房企可关注细分领域分散经营压力，如房屋租赁、人才房、特色小镇等政策引导的领域，易获得政策支持。</w:t>
      </w:r>
    </w:p>
    <w:p w14:paraId="66859233">
      <w:pPr>
        <w:spacing w:line="300" w:lineRule="auto"/>
        <w:rPr>
          <w:rFonts w:ascii="宋体" w:hAnsi="宋体" w:eastAsia="宋体"/>
          <w:b/>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330FEA"/>
    <w:multiLevelType w:val="multilevel"/>
    <w:tmpl w:val="27330FEA"/>
    <w:lvl w:ilvl="0" w:tentative="0">
      <w:start w:val="1"/>
      <w:numFmt w:val="japaneseCounting"/>
      <w:lvlText w:val="%1、"/>
      <w:lvlJc w:val="left"/>
      <w:pPr>
        <w:ind w:left="960" w:hanging="48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
    <w:nsid w:val="33E93294"/>
    <w:multiLevelType w:val="multilevel"/>
    <w:tmpl w:val="33E93294"/>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61CC17D0"/>
    <w:multiLevelType w:val="multilevel"/>
    <w:tmpl w:val="61CC17D0"/>
    <w:lvl w:ilvl="0" w:tentative="0">
      <w:start w:val="1"/>
      <w:numFmt w:val="japaneseCounting"/>
      <w:lvlText w:val="（%1）"/>
      <w:lvlJc w:val="left"/>
      <w:pPr>
        <w:ind w:left="1145"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9DE"/>
    <w:rsid w:val="00206597"/>
    <w:rsid w:val="004577A6"/>
    <w:rsid w:val="0063028C"/>
    <w:rsid w:val="006A5CF5"/>
    <w:rsid w:val="007351F1"/>
    <w:rsid w:val="007A7E8D"/>
    <w:rsid w:val="00821CF2"/>
    <w:rsid w:val="008B3FE2"/>
    <w:rsid w:val="009F7043"/>
    <w:rsid w:val="00DA0BA2"/>
    <w:rsid w:val="00FB59DE"/>
    <w:rsid w:val="0247336F"/>
    <w:rsid w:val="0BEC6E1F"/>
    <w:rsid w:val="2B361B54"/>
    <w:rsid w:val="5D4930BA"/>
    <w:rsid w:val="62813D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jc w:val="left"/>
    </w:pPr>
    <w:rPr>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paragraph" w:styleId="7">
    <w:name w:val="List Paragraph"/>
    <w:basedOn w:val="1"/>
    <w:qFormat/>
    <w:uiPriority w:val="1"/>
    <w:pPr>
      <w:spacing w:line="300" w:lineRule="auto"/>
      <w:ind w:firstLine="420" w:firstLineChars="200"/>
    </w:pPr>
    <w:rPr>
      <w:rFonts w:ascii="Times New Roman" w:hAnsi="Times New Roman" w:eastAsia="宋体" w:cs="Times New Roman"/>
    </w:rPr>
  </w:style>
  <w:style w:type="character" w:customStyle="1" w:styleId="8">
    <w:name w:val="页眉 字符"/>
    <w:basedOn w:val="6"/>
    <w:link w:val="3"/>
    <w:uiPriority w:val="99"/>
    <w:rPr>
      <w:sz w:val="18"/>
      <w:szCs w:val="18"/>
    </w:rPr>
  </w:style>
  <w:style w:type="character" w:customStyle="1" w:styleId="9">
    <w:name w:val="页脚 字符"/>
    <w:basedOn w:val="6"/>
    <w:link w:val="2"/>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1938</Words>
  <Characters>2789</Characters>
  <Lines>32</Lines>
  <Paragraphs>9</Paragraphs>
  <TotalTime>15</TotalTime>
  <ScaleCrop>false</ScaleCrop>
  <LinksUpToDate>false</LinksUpToDate>
  <CharactersWithSpaces>2897</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2020-08-01T06:16:00Z</dcterms:created>
  <dc:creator>Apple</dc:creator>
  <cp:lastModifiedBy>ljy</cp:lastModifiedBy>
  <dcterms:modified xsi:type="dcterms:W3CDTF">2025-06-02T06:20:07Z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eyJoZGlkIjoiNDE4NjczYzk3Mjc3NmYyOTcwYzQzNDEzOTgyODAxNTIiLCJ1c2VySWQiOiIyOTk4MzAxMTQifQ==</vt:lpwstr>
  </property>
  <property fmtid="{D5CDD505-2E9C-101B-9397-08002B2CF9AE}" pid="3" name="KSOProductBuildVer">
    <vt:lpwstr>2052-12.1.0.21171</vt:lpwstr>
  </property>
  <property fmtid="{D5CDD505-2E9C-101B-9397-08002B2CF9AE}" pid="4" name="ICV">
    <vt:lpwstr>E3EDBE2C2ED94FD98629F4478EAE7545_13</vt:lpwstr>
  </property>
</Properties>
</file>