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EA" w:rsidRPr="00026BEA" w:rsidRDefault="00026BEA" w:rsidP="00026BEA">
      <w:pPr>
        <w:pStyle w:val="56"/>
        <w:spacing w:afterLines="20" w:after="62"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026BEA">
        <w:rPr>
          <w:rFonts w:ascii="宋体" w:eastAsia="宋体" w:hAnsi="宋体" w:hint="eastAsia"/>
          <w:b/>
          <w:sz w:val="24"/>
          <w:szCs w:val="24"/>
          <w:lang w:eastAsia="zh-CN"/>
        </w:rPr>
        <w:t>案例+</w:t>
      </w:r>
      <w:proofErr w:type="spellStart"/>
      <w:r w:rsidRPr="00026BEA">
        <w:rPr>
          <w:rFonts w:ascii="宋体" w:eastAsia="宋体" w:hAnsi="宋体"/>
          <w:b/>
          <w:sz w:val="24"/>
          <w:szCs w:val="24"/>
        </w:rPr>
        <w:t>贵州茅台的股利政策</w:t>
      </w:r>
      <w:proofErr w:type="spellEnd"/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>贵州茅台酒股份有限公司（证券代码：600519）2017年、2016年及2015年的权益分派方案如下。</w:t>
      </w:r>
    </w:p>
    <w:p w:rsidR="00026BEA" w:rsidRPr="00026BEA" w:rsidRDefault="00026BEA" w:rsidP="00026BEA">
      <w:pPr>
        <w:pStyle w:val="34GB2312"/>
        <w:spacing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026BEA">
        <w:rPr>
          <w:rFonts w:ascii="宋体" w:eastAsia="宋体" w:hAnsi="宋体"/>
          <w:b/>
          <w:sz w:val="24"/>
          <w:szCs w:val="24"/>
        </w:rPr>
        <w:t>一、2017年度权益分派实施公告的主要内容</w:t>
      </w:r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>贵州茅台酒股份有限公司（以下简称“公司”或“本公司”）2017年度权益分派方案在</w:t>
      </w:r>
      <w:smartTag w:uri="urn:schemas-microsoft-com:office:smarttags" w:element="chsdate">
        <w:smartTagPr>
          <w:attr w:name="Year" w:val="2018"/>
          <w:attr w:name="Month" w:val="5"/>
          <w:attr w:name="Day" w:val="23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2018年5月23日</w:t>
        </w:r>
      </w:smartTag>
      <w:r w:rsidRPr="00026BEA">
        <w:rPr>
          <w:rFonts w:ascii="宋体" w:eastAsia="宋体" w:hAnsi="宋体"/>
          <w:sz w:val="24"/>
          <w:szCs w:val="24"/>
        </w:rPr>
        <w:t>召开的本公司2017年度股东大会审议通过。股东大会决议公告刊登于《上海证券报》、《中国证券报》和上海证券交易所网站。</w:t>
      </w:r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 xml:space="preserve">发放年度：2017年年度；分派对象：截至股权登记日下午上海证券交易所收市后，在中国证券登记结算有限责任公司上海分公司（以下简称“中国结算上海分公司”）登记在册的本公司全体股东。每股分配比例：本次利润分配以方案实施前的公司总股本 1,256,197,800 </w:t>
      </w:r>
      <w:proofErr w:type="spellStart"/>
      <w:r w:rsidRPr="00026BEA">
        <w:rPr>
          <w:rFonts w:ascii="宋体" w:eastAsia="宋体" w:hAnsi="宋体"/>
          <w:sz w:val="24"/>
          <w:szCs w:val="24"/>
        </w:rPr>
        <w:t>股为基数，每股派发现金红利</w:t>
      </w:r>
      <w:proofErr w:type="spellEnd"/>
      <w:r w:rsidRPr="00026BEA">
        <w:rPr>
          <w:rFonts w:ascii="宋体" w:eastAsia="宋体" w:hAnsi="宋体"/>
          <w:sz w:val="24"/>
          <w:szCs w:val="24"/>
        </w:rPr>
        <w:t xml:space="preserve"> 10.999 </w:t>
      </w:r>
      <w:proofErr w:type="spellStart"/>
      <w:r w:rsidRPr="00026BEA">
        <w:rPr>
          <w:rFonts w:ascii="宋体" w:eastAsia="宋体" w:hAnsi="宋体"/>
          <w:sz w:val="24"/>
          <w:szCs w:val="24"/>
        </w:rPr>
        <w:t>元（含税</w:t>
      </w:r>
      <w:proofErr w:type="spellEnd"/>
      <w:r w:rsidRPr="00026BEA">
        <w:rPr>
          <w:rFonts w:ascii="宋体" w:eastAsia="宋体" w:hAnsi="宋体"/>
          <w:sz w:val="24"/>
          <w:szCs w:val="24"/>
        </w:rPr>
        <w:t>），</w:t>
      </w:r>
      <w:proofErr w:type="spellStart"/>
      <w:r w:rsidRPr="00026BEA">
        <w:rPr>
          <w:rFonts w:ascii="宋体" w:eastAsia="宋体" w:hAnsi="宋体"/>
          <w:sz w:val="24"/>
          <w:szCs w:val="24"/>
        </w:rPr>
        <w:t>共计派发现金红利</w:t>
      </w:r>
      <w:proofErr w:type="spellEnd"/>
      <w:r w:rsidRPr="00026BEA">
        <w:rPr>
          <w:rFonts w:ascii="宋体" w:eastAsia="宋体" w:hAnsi="宋体"/>
          <w:sz w:val="24"/>
          <w:szCs w:val="24"/>
        </w:rPr>
        <w:t xml:space="preserve"> 13,816,919,602.20元。股权登记日：</w:t>
      </w:r>
      <w:smartTag w:uri="urn:schemas-microsoft-com:office:smarttags" w:element="chsdate">
        <w:smartTagPr>
          <w:attr w:name="Year" w:val="2018"/>
          <w:attr w:name="Month" w:val="6"/>
          <w:attr w:name="Day" w:val="14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2018年6月14日</w:t>
        </w:r>
      </w:smartTag>
      <w:r w:rsidRPr="00026BEA">
        <w:rPr>
          <w:rFonts w:ascii="宋体" w:eastAsia="宋体" w:hAnsi="宋体"/>
          <w:sz w:val="24"/>
          <w:szCs w:val="24"/>
        </w:rPr>
        <w:t>；除权（除息）日：</w:t>
      </w:r>
      <w:smartTag w:uri="urn:schemas-microsoft-com:office:smarttags" w:element="chsdate">
        <w:smartTagPr>
          <w:attr w:name="Year" w:val="2018"/>
          <w:attr w:name="Month" w:val="6"/>
          <w:attr w:name="Day" w:val="15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2018年6月15日</w:t>
        </w:r>
      </w:smartTag>
      <w:r w:rsidRPr="00026BEA">
        <w:rPr>
          <w:rFonts w:ascii="宋体" w:eastAsia="宋体" w:hAnsi="宋体"/>
          <w:sz w:val="24"/>
          <w:szCs w:val="24"/>
        </w:rPr>
        <w:t>；现金红利发放日：</w:t>
      </w:r>
      <w:smartTag w:uri="urn:schemas-microsoft-com:office:smarttags" w:element="chsdate">
        <w:smartTagPr>
          <w:attr w:name="Year" w:val="2018"/>
          <w:attr w:name="Month" w:val="6"/>
          <w:attr w:name="Day" w:val="15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2018年6月15日</w:t>
        </w:r>
      </w:smartTag>
      <w:r w:rsidRPr="00026BEA">
        <w:rPr>
          <w:rFonts w:ascii="宋体" w:eastAsia="宋体" w:hAnsi="宋体"/>
          <w:sz w:val="24"/>
          <w:szCs w:val="24"/>
        </w:rPr>
        <w:t>。</w:t>
      </w:r>
    </w:p>
    <w:p w:rsidR="00026BEA" w:rsidRPr="00026BEA" w:rsidRDefault="00026BEA" w:rsidP="00026BEA">
      <w:pPr>
        <w:pStyle w:val="34GB2312"/>
        <w:spacing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026BEA">
        <w:rPr>
          <w:rFonts w:ascii="宋体" w:eastAsia="宋体" w:hAnsi="宋体"/>
          <w:b/>
          <w:sz w:val="24"/>
          <w:szCs w:val="24"/>
        </w:rPr>
        <w:t>二、2016年度权益分派实施公告的主要内容</w:t>
      </w:r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>2016年度权益分派方案已经</w:t>
      </w:r>
      <w:smartTag w:uri="urn:schemas-microsoft-com:office:smarttags" w:element="chsdate">
        <w:smartTagPr>
          <w:attr w:name="Year" w:val="2017"/>
          <w:attr w:name="Month" w:val="5"/>
          <w:attr w:name="Day" w:val="22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2017年5月22日</w:t>
        </w:r>
      </w:smartTag>
      <w:r w:rsidRPr="00026BEA">
        <w:rPr>
          <w:rFonts w:ascii="宋体" w:eastAsia="宋体" w:hAnsi="宋体"/>
          <w:sz w:val="24"/>
          <w:szCs w:val="24"/>
        </w:rPr>
        <w:t>召开的本公司2016年度股东大会审议通过。股东大会决议公告刊登于《上海证券报》、《中国证券报》和上海证券交易所网站。</w:t>
      </w:r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>发放年度：2016年年度；分派对象：截至股权登记日下午上海证券交易所收市后，在中国结算上海分公司登记在册的本公司全体股东。本次利润分配以方案实施前的公司总股本1,256,197,800股为基数，每股派发现金红利6.787元人民币（含税），共计派发现金红利8,525,814,468.60元。股权登记日：</w:t>
      </w:r>
      <w:smartTag w:uri="urn:schemas-microsoft-com:office:smarttags" w:element="chsdate">
        <w:smartTagPr>
          <w:attr w:name="Year" w:val="2017"/>
          <w:attr w:name="Month" w:val="7"/>
          <w:attr w:name="Day" w:val="6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2017年7月6日</w:t>
        </w:r>
      </w:smartTag>
      <w:r w:rsidRPr="00026BEA">
        <w:rPr>
          <w:rFonts w:ascii="宋体" w:eastAsia="宋体" w:hAnsi="宋体"/>
          <w:sz w:val="24"/>
          <w:szCs w:val="24"/>
        </w:rPr>
        <w:t>；除息日：</w:t>
      </w:r>
      <w:smartTag w:uri="urn:schemas-microsoft-com:office:smarttags" w:element="chsdate">
        <w:smartTagPr>
          <w:attr w:name="Year" w:val="2017"/>
          <w:attr w:name="Month" w:val="7"/>
          <w:attr w:name="Day" w:val="7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2017年7月7日</w:t>
        </w:r>
      </w:smartTag>
      <w:r w:rsidRPr="00026BEA">
        <w:rPr>
          <w:rFonts w:ascii="宋体" w:eastAsia="宋体" w:hAnsi="宋体"/>
          <w:sz w:val="24"/>
          <w:szCs w:val="24"/>
        </w:rPr>
        <w:t>；现金红利发放日：</w:t>
      </w:r>
      <w:smartTag w:uri="urn:schemas-microsoft-com:office:smarttags" w:element="chsdate">
        <w:smartTagPr>
          <w:attr w:name="Year" w:val="2017"/>
          <w:attr w:name="Month" w:val="7"/>
          <w:attr w:name="Day" w:val="7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2017年7月7日</w:t>
        </w:r>
      </w:smartTag>
      <w:r w:rsidRPr="00026BEA">
        <w:rPr>
          <w:rFonts w:ascii="宋体" w:eastAsia="宋体" w:hAnsi="宋体"/>
          <w:sz w:val="24"/>
          <w:szCs w:val="24"/>
        </w:rPr>
        <w:t>。</w:t>
      </w:r>
    </w:p>
    <w:p w:rsidR="00026BEA" w:rsidRPr="00026BEA" w:rsidRDefault="00026BEA" w:rsidP="00026BEA">
      <w:pPr>
        <w:pStyle w:val="34GB2312"/>
        <w:spacing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026BEA">
        <w:rPr>
          <w:rFonts w:ascii="宋体" w:eastAsia="宋体" w:hAnsi="宋体"/>
          <w:b/>
          <w:sz w:val="24"/>
          <w:szCs w:val="24"/>
        </w:rPr>
        <w:t>三、2015年度利润分配实施公告的主要内容</w:t>
      </w:r>
    </w:p>
    <w:p w:rsidR="00026BEA" w:rsidRPr="00026BEA" w:rsidRDefault="00026BEA" w:rsidP="00026BEA">
      <w:pPr>
        <w:pStyle w:val="34GB2312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z w:val="24"/>
          <w:szCs w:val="24"/>
        </w:rPr>
        <w:t>2015年度利润分配方案已经</w:t>
      </w:r>
      <w:smartTag w:uri="urn:schemas-microsoft-com:office:smarttags" w:element="chsdate">
        <w:smartTagPr>
          <w:attr w:name="Year" w:val="2016"/>
          <w:attr w:name="Month" w:val="5"/>
          <w:attr w:name="Day" w:val="18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2016年5月18日</w:t>
        </w:r>
      </w:smartTag>
      <w:r w:rsidRPr="00026BEA">
        <w:rPr>
          <w:rFonts w:ascii="宋体" w:eastAsia="宋体" w:hAnsi="宋体"/>
          <w:sz w:val="24"/>
          <w:szCs w:val="24"/>
        </w:rPr>
        <w:t>召开的本公司2015年年度股东大会审议通过。股东大会决议公告刊登于</w:t>
      </w:r>
      <w:smartTag w:uri="urn:schemas-microsoft-com:office:smarttags" w:element="chsdate">
        <w:smartTagPr>
          <w:attr w:name="Year" w:val="2016"/>
          <w:attr w:name="Month" w:val="5"/>
          <w:attr w:name="Day" w:val="19"/>
          <w:attr w:name="IsLunarDate" w:val="False"/>
          <w:attr w:name="IsROCDate" w:val="False"/>
        </w:smartTagPr>
        <w:r w:rsidRPr="00026BEA">
          <w:rPr>
            <w:rFonts w:ascii="宋体" w:eastAsia="宋体" w:hAnsi="宋体"/>
            <w:sz w:val="24"/>
            <w:szCs w:val="24"/>
          </w:rPr>
          <w:t>2016年5月19日</w:t>
        </w:r>
      </w:smartTag>
      <w:r w:rsidRPr="00026BEA">
        <w:rPr>
          <w:rFonts w:ascii="宋体" w:eastAsia="宋体" w:hAnsi="宋体"/>
          <w:sz w:val="24"/>
          <w:szCs w:val="24"/>
        </w:rPr>
        <w:t>的《上海证券报》、《中国证券报》和上海证券交易所网站。</w:t>
      </w:r>
    </w:p>
    <w:p w:rsidR="00026BEA" w:rsidRPr="00026BEA" w:rsidRDefault="00026BEA" w:rsidP="00026BEA">
      <w:pPr>
        <w:pStyle w:val="34GB2312"/>
        <w:spacing w:line="360" w:lineRule="auto"/>
        <w:ind w:firstLine="472"/>
        <w:rPr>
          <w:rFonts w:ascii="宋体" w:eastAsia="宋体" w:hAnsi="宋体"/>
          <w:sz w:val="24"/>
          <w:szCs w:val="24"/>
        </w:rPr>
      </w:pPr>
      <w:r w:rsidRPr="00026BEA">
        <w:rPr>
          <w:rFonts w:ascii="宋体" w:eastAsia="宋体" w:hAnsi="宋体"/>
          <w:spacing w:val="-2"/>
          <w:sz w:val="24"/>
          <w:szCs w:val="24"/>
        </w:rPr>
        <w:t>发放年度：2015年度；发放范围：截</w:t>
      </w:r>
      <w:r w:rsidRPr="00026BEA">
        <w:rPr>
          <w:rFonts w:ascii="宋体" w:eastAsia="宋体" w:hAnsi="宋体" w:hint="eastAsia"/>
          <w:spacing w:val="-2"/>
          <w:sz w:val="24"/>
          <w:szCs w:val="24"/>
          <w:lang w:eastAsia="zh-CN"/>
        </w:rPr>
        <w:t>至</w:t>
      </w:r>
      <w:r w:rsidRPr="00026BEA">
        <w:rPr>
          <w:rFonts w:ascii="宋体" w:eastAsia="宋体" w:hAnsi="宋体"/>
          <w:spacing w:val="-2"/>
          <w:sz w:val="24"/>
          <w:szCs w:val="24"/>
        </w:rPr>
        <w:t>2016年6月30日（股权登记日）下午上海证券交易所收市后，在中国结算上海分公司登记在册的本公司全体股东。本次分配以2015年年末总股本125,619.78万股为基数，对公司全体股东每10股</w:t>
      </w:r>
      <w:r w:rsidRPr="00026BEA">
        <w:rPr>
          <w:rFonts w:ascii="宋体" w:eastAsia="宋体" w:hAnsi="宋体"/>
          <w:spacing w:val="-2"/>
          <w:sz w:val="24"/>
          <w:szCs w:val="24"/>
        </w:rPr>
        <w:lastRenderedPageBreak/>
        <w:t>派发现金红利61.71元（含税），共分配利润7,751,996,623.80元。</w:t>
      </w:r>
      <w:r w:rsidRPr="00026BEA">
        <w:rPr>
          <w:rFonts w:ascii="宋体" w:eastAsia="宋体" w:hAnsi="宋体"/>
          <w:sz w:val="24"/>
          <w:szCs w:val="24"/>
        </w:rPr>
        <w:t>股权登记日：股权登记日2016年6月30日。除息日：2016年7月1日。现金红利发放日：2016年7月1日。</w:t>
      </w:r>
    </w:p>
    <w:p w:rsidR="00026BEA" w:rsidRPr="00026BEA" w:rsidRDefault="00026BEA" w:rsidP="00026BEA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【案例问题】</w:t>
      </w:r>
    </w:p>
    <w:p w:rsidR="00026BEA" w:rsidRPr="00026BEA" w:rsidRDefault="00026BEA" w:rsidP="00026BEA">
      <w:pPr>
        <w:spacing w:line="360" w:lineRule="auto"/>
        <w:ind w:firstLine="480"/>
        <w:rPr>
          <w:rFonts w:ascii="宋体" w:hAnsi="宋体" w:cs="宋体"/>
          <w:sz w:val="24"/>
        </w:rPr>
      </w:pPr>
      <w:r w:rsidRPr="00026BEA">
        <w:rPr>
          <w:rFonts w:ascii="宋体" w:hAnsi="宋体" w:cs="宋体"/>
          <w:sz w:val="24"/>
        </w:rPr>
        <w:t>1．请结合各年财务报表数据，计算贵州茅台的股利支付率。并比较分析其3个年度的股利分配方案的异同。</w:t>
      </w:r>
    </w:p>
    <w:p w:rsidR="00026BEA" w:rsidRPr="00026BEA" w:rsidRDefault="00026BEA" w:rsidP="00026BEA">
      <w:pPr>
        <w:spacing w:line="360" w:lineRule="auto"/>
        <w:ind w:firstLine="480"/>
        <w:rPr>
          <w:rFonts w:ascii="宋体" w:hAnsi="宋体" w:cs="宋体"/>
          <w:sz w:val="24"/>
        </w:rPr>
      </w:pPr>
      <w:r w:rsidRPr="00026BEA">
        <w:rPr>
          <w:rFonts w:ascii="宋体" w:hAnsi="宋体" w:cs="宋体"/>
          <w:sz w:val="24"/>
        </w:rPr>
        <w:t>2．在股利分配过程的各个时间点，你认为股价理论上会有怎样的变化？实际结果和理论分析是一致的吗？</w:t>
      </w:r>
    </w:p>
    <w:p w:rsidR="00026BEA" w:rsidRPr="00026BEA" w:rsidRDefault="00026BEA" w:rsidP="00026BEA">
      <w:pPr>
        <w:spacing w:line="360" w:lineRule="auto"/>
        <w:ind w:firstLine="480"/>
        <w:rPr>
          <w:rFonts w:ascii="宋体" w:hAnsi="宋体" w:cs="宋体" w:hint="eastAsia"/>
          <w:sz w:val="24"/>
        </w:rPr>
      </w:pPr>
      <w:r w:rsidRPr="00026BEA">
        <w:rPr>
          <w:rFonts w:ascii="宋体" w:hAnsi="宋体" w:cs="宋体"/>
          <w:sz w:val="24"/>
        </w:rPr>
        <w:t>3．进一步分析贵州茅台股利政策的类型。</w:t>
      </w:r>
    </w:p>
    <w:p w:rsidR="00026BEA" w:rsidRPr="00026BEA" w:rsidRDefault="00026BEA" w:rsidP="00026BEA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【案例</w:t>
      </w:r>
      <w:r>
        <w:rPr>
          <w:rFonts w:ascii="宋体" w:hAnsi="宋体" w:cs="宋体" w:hint="eastAsia"/>
          <w:sz w:val="24"/>
        </w:rPr>
        <w:t>解析</w:t>
      </w:r>
      <w:r>
        <w:rPr>
          <w:rFonts w:ascii="宋体" w:hAnsi="宋体" w:cs="宋体" w:hint="eastAsia"/>
          <w:sz w:val="24"/>
        </w:rPr>
        <w:t>】</w:t>
      </w:r>
    </w:p>
    <w:p w:rsidR="00026BEA" w:rsidRDefault="00026BEA" w:rsidP="00026BEA">
      <w:pPr>
        <w:ind w:firstLine="420"/>
      </w:pPr>
    </w:p>
    <w:p w:rsidR="00026BEA" w:rsidRDefault="00026BEA" w:rsidP="00026BEA">
      <w:pPr>
        <w:ind w:firstLine="420"/>
        <w:rPr>
          <w:rFonts w:ascii="宋体" w:hAnsi="宋体" w:cs="宋体"/>
        </w:rPr>
      </w:pPr>
      <w:r w:rsidRPr="00DD7A8A"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（1）股利支付率</w:t>
      </w:r>
    </w:p>
    <w:p w:rsidR="00026BEA" w:rsidRPr="00DD7A8A" w:rsidRDefault="00026BEA" w:rsidP="00026BEA">
      <w:pPr>
        <w:ind w:firstLine="420"/>
        <w:rPr>
          <w:rFonts w:ascii="宋体" w:hAnsi="宋体" w:cs="宋体"/>
        </w:rPr>
      </w:pPr>
      <w:r w:rsidRPr="00DD7A8A">
        <w:rPr>
          <w:rFonts w:ascii="宋体" w:hAnsi="宋体" w:cs="宋体" w:hint="eastAsia"/>
        </w:rPr>
        <w:t>由各年财务报表可知</w:t>
      </w:r>
      <w:r>
        <w:rPr>
          <w:rFonts w:ascii="宋体" w:hAnsi="宋体" w:cs="宋体" w:hint="eastAsia"/>
        </w:rPr>
        <w:t>：</w:t>
      </w:r>
    </w:p>
    <w:p w:rsidR="00026BEA" w:rsidRDefault="00026BEA" w:rsidP="00026BEA">
      <w:pPr>
        <w:ind w:firstLine="420"/>
      </w:pPr>
      <w:r>
        <w:rPr>
          <w:rFonts w:hint="eastAsia"/>
        </w:rPr>
        <w:t>2017</w:t>
      </w:r>
      <w:r>
        <w:rPr>
          <w:rFonts w:hint="eastAsia"/>
        </w:rPr>
        <w:t>年每股收益为</w:t>
      </w:r>
      <w:r>
        <w:rPr>
          <w:rFonts w:hint="eastAsia"/>
        </w:rPr>
        <w:t>21.56</w:t>
      </w:r>
      <w:r w:rsidRPr="00DD7A8A"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股，每股股利为</w:t>
      </w:r>
      <w:r>
        <w:rPr>
          <w:rFonts w:hint="eastAsia"/>
        </w:rPr>
        <w:t>11.00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股，则股利支付率为：</w:t>
      </w:r>
      <w:r>
        <w:rPr>
          <w:rFonts w:hint="eastAsia"/>
        </w:rPr>
        <w:t>11/21.56=51.02%</w:t>
      </w:r>
      <w:r>
        <w:rPr>
          <w:rFonts w:hint="eastAsia"/>
        </w:rPr>
        <w:t>；</w:t>
      </w:r>
    </w:p>
    <w:p w:rsidR="00026BEA" w:rsidRDefault="00026BEA" w:rsidP="00026BEA">
      <w:pPr>
        <w:ind w:firstLine="420"/>
      </w:pPr>
      <w:r>
        <w:rPr>
          <w:rFonts w:hint="eastAsia"/>
        </w:rPr>
        <w:t>2016</w:t>
      </w:r>
      <w:r>
        <w:rPr>
          <w:rFonts w:hint="eastAsia"/>
        </w:rPr>
        <w:t>年每股收益为</w:t>
      </w:r>
      <w:r>
        <w:rPr>
          <w:rFonts w:hint="eastAsia"/>
        </w:rPr>
        <w:t>13.31</w:t>
      </w:r>
      <w:r w:rsidRPr="00DD7A8A"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股，每股股利为</w:t>
      </w:r>
      <w:r>
        <w:rPr>
          <w:rFonts w:hint="eastAsia"/>
        </w:rPr>
        <w:t>6.79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股，则股利支付率为：</w:t>
      </w:r>
      <w:r>
        <w:rPr>
          <w:rFonts w:hint="eastAsia"/>
        </w:rPr>
        <w:t>6.79/13.31=51.00%</w:t>
      </w:r>
      <w:r>
        <w:rPr>
          <w:rFonts w:hint="eastAsia"/>
        </w:rPr>
        <w:t>；</w:t>
      </w:r>
    </w:p>
    <w:p w:rsidR="00026BEA" w:rsidRPr="00026BEA" w:rsidRDefault="00026BEA" w:rsidP="00026BEA">
      <w:pPr>
        <w:ind w:firstLine="42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年每股收益为</w:t>
      </w:r>
      <w:r>
        <w:rPr>
          <w:rFonts w:hint="eastAsia"/>
        </w:rPr>
        <w:t>12.34</w:t>
      </w:r>
      <w:r w:rsidRPr="00DD7A8A"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股，每股股利为</w:t>
      </w:r>
      <w:r>
        <w:rPr>
          <w:rFonts w:hint="eastAsia"/>
        </w:rPr>
        <w:t>6.17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股，则股利支付率为：</w:t>
      </w:r>
      <w:r>
        <w:rPr>
          <w:rFonts w:hint="eastAsia"/>
        </w:rPr>
        <w:t>6.17/12.34=50.00%.</w:t>
      </w:r>
      <w:bookmarkStart w:id="0" w:name="_GoBack"/>
      <w:bookmarkEnd w:id="0"/>
    </w:p>
    <w:p w:rsidR="00026BEA" w:rsidRDefault="00026BEA" w:rsidP="00026BEA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不同时点的股价变化</w:t>
      </w:r>
    </w:p>
    <w:p w:rsidR="00026BEA" w:rsidRDefault="00026BEA" w:rsidP="00026BEA">
      <w:pPr>
        <w:ind w:firstLine="420"/>
      </w:pPr>
      <w:r>
        <w:rPr>
          <w:rFonts w:hint="eastAsia"/>
        </w:rPr>
        <w:t>在不同时点上，股价的变动方向并不绝对，还应结合市场情况及公司自身等实际情况进行综合判断。然而，贵州茅台作为一家业绩表现较好的公司，在</w:t>
      </w:r>
      <w:r w:rsidRPr="00EB3DC8">
        <w:rPr>
          <w:rFonts w:hint="eastAsia"/>
        </w:rPr>
        <w:t>股权登记日</w:t>
      </w:r>
      <w:r>
        <w:rPr>
          <w:rFonts w:hint="eastAsia"/>
        </w:rPr>
        <w:t>及除息日、现金红利发放日当天，股价</w:t>
      </w:r>
      <w:r w:rsidRPr="00EB3DC8">
        <w:rPr>
          <w:rFonts w:hint="eastAsia"/>
        </w:rPr>
        <w:t>一般会</w:t>
      </w:r>
      <w:r>
        <w:rPr>
          <w:rFonts w:hint="eastAsia"/>
        </w:rPr>
        <w:t>出现小幅下跌</w:t>
      </w:r>
      <w:r w:rsidRPr="00EB3DC8">
        <w:rPr>
          <w:rFonts w:hint="eastAsia"/>
        </w:rPr>
        <w:t>，</w:t>
      </w:r>
      <w:r>
        <w:rPr>
          <w:rFonts w:hint="eastAsia"/>
        </w:rPr>
        <w:t>但整体保持相对稳定。</w:t>
      </w:r>
    </w:p>
    <w:p w:rsidR="00026BEA" w:rsidRDefault="00026BEA" w:rsidP="00026BEA">
      <w:pPr>
        <w:ind w:firstLine="420"/>
      </w:pPr>
      <w:r>
        <w:rPr>
          <w:rFonts w:hint="eastAsia"/>
        </w:rPr>
        <w:t>实际情况与理论分析一致。</w:t>
      </w:r>
    </w:p>
    <w:p w:rsidR="00026BEA" w:rsidRDefault="00026BEA" w:rsidP="00026BEA">
      <w:pPr>
        <w:ind w:firstLine="420"/>
        <w:rPr>
          <w:rFonts w:ascii="宋体" w:hAnsi="宋体" w:cs="宋体"/>
        </w:rPr>
      </w:pPr>
      <w:r>
        <w:rPr>
          <w:rFonts w:hint="eastAsia"/>
        </w:rPr>
        <w:t>3.</w:t>
      </w:r>
      <w:r w:rsidRPr="001337DA">
        <w:rPr>
          <w:rFonts w:ascii="宋体" w:hAnsi="宋体" w:cs="宋体"/>
        </w:rPr>
        <w:t xml:space="preserve"> </w:t>
      </w:r>
      <w:r w:rsidRPr="00011338">
        <w:rPr>
          <w:rFonts w:ascii="宋体" w:hAnsi="宋体" w:cs="宋体"/>
        </w:rPr>
        <w:t>贵州茅台股利政策的类型</w:t>
      </w:r>
    </w:p>
    <w:p w:rsidR="00026BEA" w:rsidRDefault="00026BEA" w:rsidP="00026BEA">
      <w:pPr>
        <w:ind w:firstLine="420"/>
      </w:pPr>
      <w:r>
        <w:rPr>
          <w:rFonts w:hint="eastAsia"/>
        </w:rPr>
        <w:t>尽管案例中仅涉及现金股利形式，但通过对贵州茅台其他年度的股利分配政策进行总结，可以发现其股利政策呈现现金股利为主、股票股利并存的状态。</w:t>
      </w:r>
    </w:p>
    <w:p w:rsidR="00026BEA" w:rsidRDefault="00026BEA" w:rsidP="00026BE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）现金股利：</w:t>
      </w:r>
    </w:p>
    <w:p w:rsidR="00026BEA" w:rsidRDefault="00026BEA" w:rsidP="00026BEA">
      <w:pPr>
        <w:ind w:firstLine="420"/>
      </w:pPr>
      <w:r>
        <w:rPr>
          <w:rFonts w:hint="eastAsia"/>
        </w:rPr>
        <w:t>自</w:t>
      </w:r>
      <w:r>
        <w:rPr>
          <w:rFonts w:hint="eastAsia"/>
        </w:rPr>
        <w:t>2001</w:t>
      </w:r>
      <w:r>
        <w:rPr>
          <w:rFonts w:hint="eastAsia"/>
        </w:rPr>
        <w:t>年上市以来，贵州</w:t>
      </w:r>
      <w:proofErr w:type="gramStart"/>
      <w:r>
        <w:rPr>
          <w:rFonts w:hint="eastAsia"/>
        </w:rPr>
        <w:t>茅台派</w:t>
      </w:r>
      <w:proofErr w:type="gramEnd"/>
      <w:r>
        <w:rPr>
          <w:rFonts w:hint="eastAsia"/>
        </w:rPr>
        <w:t>现的股利政策从未间断，即采用现金股利方式发放股利，且现金股利持续走高，股利支付率也较高。贵州茅台的股利发放政策以此为主。</w:t>
      </w:r>
    </w:p>
    <w:p w:rsidR="00026BEA" w:rsidRDefault="00026BEA" w:rsidP="00026BE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）股票股利：</w:t>
      </w:r>
    </w:p>
    <w:p w:rsidR="00026BEA" w:rsidRDefault="00026BEA" w:rsidP="00026BEA">
      <w:pPr>
        <w:ind w:firstLine="420"/>
      </w:pPr>
      <w:r>
        <w:rPr>
          <w:rFonts w:hint="eastAsia"/>
        </w:rPr>
        <w:t>由贵州茅台近十年的股利政策情况来看，公司仅仅在</w:t>
      </w:r>
      <w:r>
        <w:rPr>
          <w:rFonts w:hint="eastAsia"/>
        </w:rPr>
        <w:t>2010</w:t>
      </w:r>
      <w:r>
        <w:rPr>
          <w:rFonts w:hint="eastAsia"/>
        </w:rPr>
        <w:t>、</w:t>
      </w:r>
      <w:r>
        <w:rPr>
          <w:rFonts w:hint="eastAsia"/>
        </w:rPr>
        <w:t>2013</w:t>
      </w:r>
      <w:r>
        <w:rPr>
          <w:rFonts w:hint="eastAsia"/>
        </w:rPr>
        <w:t>和</w:t>
      </w:r>
      <w:r>
        <w:rPr>
          <w:rFonts w:hint="eastAsia"/>
        </w:rPr>
        <w:t>2014</w:t>
      </w:r>
      <w:r>
        <w:rPr>
          <w:rFonts w:hint="eastAsia"/>
        </w:rPr>
        <w:t>年采取的是送股加现金股利的混合股利分配政策，其余年份均以较高的支付率以及高额现金派现的方式支付股利在</w:t>
      </w:r>
      <w:r>
        <w:rPr>
          <w:rFonts w:hint="eastAsia"/>
        </w:rPr>
        <w:t>2010</w:t>
      </w:r>
      <w:r>
        <w:rPr>
          <w:rFonts w:hint="eastAsia"/>
        </w:rPr>
        <w:t>年度，贵州茅台在利润分配方案中加入了送股的内容，在</w:t>
      </w:r>
      <w:r>
        <w:rPr>
          <w:rFonts w:hint="eastAsia"/>
        </w:rPr>
        <w:t>2001-2005</w:t>
      </w:r>
      <w:r>
        <w:rPr>
          <w:rFonts w:hint="eastAsia"/>
        </w:rPr>
        <w:t>年又同步进行了送股与转增。</w:t>
      </w:r>
    </w:p>
    <w:p w:rsidR="00026BEA" w:rsidRDefault="00026BEA" w:rsidP="00026BEA">
      <w:pPr>
        <w:ind w:firstLine="420"/>
      </w:pPr>
      <w:r>
        <w:rPr>
          <w:rFonts w:hint="eastAsia"/>
        </w:rPr>
        <w:lastRenderedPageBreak/>
        <w:t>然而，现金股利这种单一的股利派现政策也有其局限性。首先，贵州茅台的高额派现的股利政策导致公司在市场上的估值逐年增加，提高了市场上中小股东投资贵州茅台的门槛，限制其投资机会，在某种程度上不利于股本扩张及公司的长期发展；其次，可能会降低市场上流通股的数量，影响股票的长期上涨。</w:t>
      </w:r>
    </w:p>
    <w:p w:rsidR="00E979D3" w:rsidRPr="00026BEA" w:rsidRDefault="00E979D3" w:rsidP="00026BEA">
      <w:pPr>
        <w:spacing w:line="360" w:lineRule="auto"/>
        <w:ind w:firstLine="480"/>
        <w:rPr>
          <w:rFonts w:ascii="宋体" w:hAnsi="宋体"/>
          <w:sz w:val="24"/>
        </w:rPr>
      </w:pPr>
    </w:p>
    <w:sectPr w:rsidR="00E979D3" w:rsidRPr="00026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EA"/>
    <w:rsid w:val="00026BEA"/>
    <w:rsid w:val="00E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467F646"/>
  <w15:chartTrackingRefBased/>
  <w15:docId w15:val="{74455744-7B16-4253-A4D1-C3631592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EA"/>
    <w:pPr>
      <w:widowControl w:val="0"/>
      <w:spacing w:line="276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GB2312">
    <w:name w:val="样式 样式34 + (中文) 楷体_GB2312 五号"/>
    <w:basedOn w:val="a"/>
    <w:link w:val="34GB2312Char"/>
    <w:rsid w:val="00026BEA"/>
    <w:pPr>
      <w:topLinePunct/>
      <w:adjustRightInd w:val="0"/>
      <w:snapToGrid w:val="0"/>
      <w:spacing w:line="316" w:lineRule="atLeast"/>
    </w:pPr>
    <w:rPr>
      <w:rFonts w:eastAsia="楷体_GB2312"/>
      <w:kern w:val="0"/>
      <w:sz w:val="19"/>
      <w:szCs w:val="19"/>
      <w:lang w:val="x-none" w:eastAsia="x-none"/>
    </w:rPr>
  </w:style>
  <w:style w:type="character" w:customStyle="1" w:styleId="34GB2312Char">
    <w:name w:val="样式 样式34 + (中文) 楷体_GB2312 五号 Char"/>
    <w:link w:val="34GB2312"/>
    <w:rsid w:val="00026BEA"/>
    <w:rPr>
      <w:rFonts w:ascii="Times New Roman" w:eastAsia="楷体_GB2312" w:hAnsi="Times New Roman" w:cs="Times New Roman"/>
      <w:kern w:val="0"/>
      <w:sz w:val="19"/>
      <w:szCs w:val="19"/>
      <w:lang w:val="x-none" w:eastAsia="x-none"/>
    </w:rPr>
  </w:style>
  <w:style w:type="paragraph" w:customStyle="1" w:styleId="56">
    <w:name w:val="样式56"/>
    <w:basedOn w:val="a"/>
    <w:link w:val="56Char"/>
    <w:rsid w:val="00026BEA"/>
    <w:pPr>
      <w:topLinePunct/>
      <w:adjustRightInd w:val="0"/>
      <w:snapToGrid w:val="0"/>
      <w:spacing w:line="316" w:lineRule="atLeast"/>
    </w:pPr>
    <w:rPr>
      <w:rFonts w:eastAsia="方正宋三简体"/>
      <w:kern w:val="0"/>
      <w:sz w:val="19"/>
      <w:szCs w:val="19"/>
      <w:lang w:val="x-none" w:eastAsia="x-none"/>
    </w:rPr>
  </w:style>
  <w:style w:type="character" w:customStyle="1" w:styleId="56Char">
    <w:name w:val="样式56 Char"/>
    <w:link w:val="56"/>
    <w:rsid w:val="00026BEA"/>
    <w:rPr>
      <w:rFonts w:ascii="Times New Roman" w:eastAsia="方正宋三简体" w:hAnsi="Times New Roman" w:cs="Times New Roman"/>
      <w:kern w:val="0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2020-08-02T02:45:00Z</dcterms:created>
  <dcterms:modified xsi:type="dcterms:W3CDTF">2020-08-02T02:47:00Z</dcterms:modified>
</cp:coreProperties>
</file>