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188B339A" w:rsidR="007E2661" w:rsidRPr="007E2661" w:rsidRDefault="00A5714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1915">
              <w:rPr>
                <w:rFonts w:ascii="宋体" w:eastAsia="宋体" w:hAnsi="宋体"/>
                <w:sz w:val="24"/>
              </w:rPr>
              <w:t>情·知己—— 探索“我”是谁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363BC7BB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0A06B0"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0A06B0" w:rsidRPr="000A06B0">
              <w:rPr>
                <w:rFonts w:ascii="宋体" w:eastAsia="宋体" w:hAnsi="宋体" w:hint="eastAsia"/>
                <w:sz w:val="24"/>
              </w:rPr>
              <w:t>吸引力法则——我们为何倾心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1597097A" w14:textId="77777777" w:rsidR="000A06B0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 w:hint="eastAsia"/>
                <w:sz w:val="24"/>
              </w:rPr>
              <w:t>1.人际吸引的心理学基础：接近性、相似性、互补性、互惠性</w:t>
            </w:r>
          </w:p>
          <w:p w14:paraId="5E534597" w14:textId="1DAEAD39" w:rsidR="000A06B0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 w:hint="eastAsia"/>
                <w:sz w:val="24"/>
              </w:rPr>
              <w:t>2.外表吸引力的心理学解读：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 w:hint="eastAsia"/>
                <w:sz w:val="24"/>
              </w:rPr>
              <w:t>美的就是好的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06B0">
              <w:rPr>
                <w:rFonts w:ascii="宋体" w:eastAsia="宋体" w:hAnsi="宋体" w:hint="eastAsia"/>
                <w:sz w:val="24"/>
              </w:rPr>
              <w:t>刻板印象与光环效应</w:t>
            </w:r>
          </w:p>
          <w:p w14:paraId="3BA19B81" w14:textId="77777777" w:rsidR="000A06B0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 w:hint="eastAsia"/>
                <w:sz w:val="24"/>
              </w:rPr>
              <w:t>3.爱情中的心理效应：吊桥效应、黑暗效应、罗密欧与朱丽叶效应</w:t>
            </w:r>
          </w:p>
          <w:p w14:paraId="41D7820C" w14:textId="77777777" w:rsidR="000A06B0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 w:hint="eastAsia"/>
                <w:sz w:val="24"/>
              </w:rPr>
              <w:t>4.吸引力在关系建立与发展中的动态变化</w:t>
            </w:r>
          </w:p>
          <w:p w14:paraId="7C08914A" w14:textId="03A4EC91" w:rsidR="005D5106" w:rsidRPr="007E2661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 w:hint="eastAsia"/>
                <w:sz w:val="24"/>
              </w:rPr>
              <w:t>5.超越表面：构建持久吸引力的内在要素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5A8899DB" w14:textId="1BC3B30F" w:rsidR="000A06B0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0A06B0">
              <w:rPr>
                <w:rFonts w:ascii="宋体" w:eastAsia="宋体" w:hAnsi="宋体"/>
                <w:sz w:val="24"/>
              </w:rPr>
              <w:t>知识基础：学生已完成自我认知和价值观探索，具备从自身角度分析关系的基础，迫切需要了解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/>
                <w:sz w:val="24"/>
              </w:rPr>
              <w:t>他人如何选择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06B0">
              <w:rPr>
                <w:rFonts w:ascii="宋体" w:eastAsia="宋体" w:hAnsi="宋体"/>
                <w:sz w:val="24"/>
              </w:rPr>
              <w:t>以及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/>
                <w:sz w:val="24"/>
              </w:rPr>
              <w:t>关系如何开始</w:t>
            </w:r>
            <w:r>
              <w:rPr>
                <w:rFonts w:ascii="宋体" w:eastAsia="宋体" w:hAnsi="宋体" w:hint="eastAsia"/>
                <w:sz w:val="24"/>
              </w:rPr>
              <w:t>”。</w:t>
            </w:r>
          </w:p>
          <w:p w14:paraId="45835F91" w14:textId="5323B42B" w:rsidR="000A06B0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0A06B0">
              <w:rPr>
                <w:rFonts w:ascii="宋体" w:eastAsia="宋体" w:hAnsi="宋体"/>
                <w:sz w:val="24"/>
              </w:rPr>
              <w:t>认知特点：学生对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/>
                <w:sz w:val="24"/>
              </w:rPr>
              <w:t>吸引力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06B0">
              <w:rPr>
                <w:rFonts w:ascii="宋体" w:eastAsia="宋体" w:hAnsi="宋体"/>
                <w:sz w:val="24"/>
              </w:rPr>
              <w:t>存在诸多迷思，容易将吸引简单归结为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/>
                <w:sz w:val="24"/>
              </w:rPr>
              <w:t>缘分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06B0">
              <w:rPr>
                <w:rFonts w:ascii="宋体" w:eastAsia="宋体" w:hAnsi="宋体"/>
                <w:sz w:val="24"/>
              </w:rPr>
              <w:t>或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/>
                <w:sz w:val="24"/>
              </w:rPr>
              <w:t>外表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06B0">
              <w:rPr>
                <w:rFonts w:ascii="宋体" w:eastAsia="宋体" w:hAnsi="宋体"/>
                <w:sz w:val="24"/>
              </w:rPr>
              <w:t>，对吸引的心理机制缺乏系统认识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3267AC5A" w14:textId="7F414945" w:rsidR="005D5106" w:rsidRP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0A06B0">
              <w:rPr>
                <w:rFonts w:ascii="宋体" w:eastAsia="宋体" w:hAnsi="宋体"/>
                <w:sz w:val="24"/>
              </w:rPr>
              <w:t>现实需求：学生渴望了解如何提升个人吸引力，同时也需要科学知识来理性分析自己为何被某些人吸引，避免盲目投入关系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61E8FAC" w14:textId="77777777" w:rsidR="000A06B0" w:rsidRDefault="000A06B0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1.培养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理性辩证的吸引力认知</w:t>
            </w:r>
            <w:r w:rsidRPr="000A06B0">
              <w:rPr>
                <w:rFonts w:ascii="宋体" w:eastAsia="宋体" w:hAnsi="宋体"/>
                <w:sz w:val="24"/>
              </w:rPr>
              <w:t>，既承认外表吸引的客观存在，又重视内在品质的持久价值</w:t>
            </w:r>
            <w:r>
              <w:rPr>
                <w:rFonts w:ascii="宋体" w:eastAsia="宋体" w:hAnsi="宋体" w:hint="eastAsia"/>
                <w:sz w:val="24"/>
              </w:rPr>
              <w:t xml:space="preserve">。 </w:t>
            </w:r>
          </w:p>
          <w:p w14:paraId="71F6469F" w14:textId="3B45DB77" w:rsidR="009A620D" w:rsidRPr="007E2661" w:rsidRDefault="000A06B0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2.树立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健康积极的自我展示态度</w:t>
            </w:r>
            <w:r w:rsidRPr="000A06B0">
              <w:rPr>
                <w:rFonts w:ascii="宋体" w:eastAsia="宋体" w:hAnsi="宋体"/>
                <w:sz w:val="24"/>
              </w:rPr>
              <w:t>，在保持真实自我的基础上进行适度的形象管理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13365BFA" w14:textId="77777777" w:rsidR="000A06B0" w:rsidRDefault="000A06B0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1.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掌握</w:t>
            </w:r>
            <w:r w:rsidRPr="000A06B0">
              <w:rPr>
                <w:rFonts w:ascii="宋体" w:eastAsia="宋体" w:hAnsi="宋体"/>
                <w:sz w:val="24"/>
              </w:rPr>
              <w:t>人际吸引的四个核心要素及其心理机制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218A7498" w14:textId="3AC42E70" w:rsidR="009A620D" w:rsidRPr="007E2661" w:rsidRDefault="000A06B0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2.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理解</w:t>
            </w:r>
            <w:r w:rsidRPr="000A06B0">
              <w:rPr>
                <w:rFonts w:ascii="宋体" w:eastAsia="宋体" w:hAnsi="宋体"/>
                <w:sz w:val="24"/>
              </w:rPr>
              <w:t>主要爱情心理效应的运作原理及现实表现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185AA427" w14:textId="77777777" w:rsidR="000A06B0" w:rsidRDefault="000A06B0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1.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能够运用</w:t>
            </w:r>
            <w:r w:rsidRPr="000A06B0">
              <w:rPr>
                <w:rFonts w:ascii="宋体" w:eastAsia="宋体" w:hAnsi="宋体"/>
                <w:sz w:val="24"/>
              </w:rPr>
              <w:t>吸引力理论分析自己或他人的情感选择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28ED1F0A" w14:textId="68582363" w:rsidR="009A620D" w:rsidRPr="007E2661" w:rsidRDefault="000A06B0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2.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能够辨别</w:t>
            </w:r>
            <w:r w:rsidRPr="000A06B0">
              <w:rPr>
                <w:rFonts w:ascii="宋体" w:eastAsia="宋体" w:hAnsi="宋体"/>
                <w:sz w:val="24"/>
              </w:rPr>
              <w:t>不同类型吸引力的特征与持续时间，做出更理性的关系决策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15DD7911" w14:textId="77777777" w:rsidR="000A06B0" w:rsidRDefault="000A06B0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1.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系统解析吸引力构成要素</w:t>
            </w:r>
            <w:r w:rsidRPr="000A06B0">
              <w:rPr>
                <w:rFonts w:ascii="宋体" w:eastAsia="宋体" w:hAnsi="宋体"/>
                <w:sz w:val="24"/>
              </w:rPr>
              <w:t>，帮助学生建立全面的吸引力认知框架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D621779" w14:textId="6C7A42E3" w:rsidR="00B858D7" w:rsidRPr="007E2661" w:rsidRDefault="000A06B0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2.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引导学生在承认外表吸引力的同时，认识其局限性和短暂性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。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1FF9110F" w14:textId="6C68F4AA" w:rsidR="000A06B0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1.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如何破除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颜值决定论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等流行迷思</w:t>
            </w:r>
            <w:r w:rsidRPr="000A06B0">
              <w:rPr>
                <w:rFonts w:ascii="宋体" w:eastAsia="宋体" w:hAnsi="宋体"/>
                <w:sz w:val="24"/>
              </w:rPr>
              <w:t>，用科学研究数据说话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6696C7DC" w14:textId="72099CD3" w:rsidR="00B858D7" w:rsidRPr="007E2661" w:rsidRDefault="000A06B0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2.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如何引导学生平衡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提升外在吸引力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与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修炼内在品质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的关系</w:t>
            </w:r>
            <w:r w:rsidRPr="000A06B0">
              <w:rPr>
                <w:rFonts w:ascii="宋体" w:eastAsia="宋体" w:hAnsi="宋体"/>
                <w:sz w:val="24"/>
              </w:rPr>
              <w:t>，避免走向极端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7A74EDE0" w:rsidR="00B858D7" w:rsidRPr="007E2661" w:rsidRDefault="000A06B0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sz w:val="24"/>
              </w:rPr>
              <w:t>实验教学法、案例分析法、辩论式教学、小组探究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3F219692" w14:textId="703604D1" w:rsidR="000A06B0" w:rsidRDefault="000A06B0" w:rsidP="004D448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b/>
                <w:bCs/>
                <w:sz w:val="24"/>
              </w:rPr>
              <w:t>1.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速配实验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体验策略</w:t>
            </w:r>
            <w:r w:rsidRPr="000A06B0">
              <w:rPr>
                <w:rFonts w:ascii="宋体" w:eastAsia="宋体" w:hAnsi="宋体"/>
                <w:sz w:val="24"/>
              </w:rPr>
              <w:t>：设计简化的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06B0">
              <w:rPr>
                <w:rFonts w:ascii="宋体" w:eastAsia="宋体" w:hAnsi="宋体"/>
                <w:sz w:val="24"/>
              </w:rPr>
              <w:t>虚拟速配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06B0">
              <w:rPr>
                <w:rFonts w:ascii="宋体" w:eastAsia="宋体" w:hAnsi="宋体"/>
                <w:sz w:val="24"/>
              </w:rPr>
              <w:t>活动，让学生在实际选择中体验吸引力要素的运作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341FA8AF" w14:textId="2A720E4E" w:rsidR="000A06B0" w:rsidRDefault="000A06B0" w:rsidP="004D448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b/>
                <w:bCs/>
                <w:sz w:val="24"/>
              </w:rPr>
              <w:t>2.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科学研究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证伪策略</w:t>
            </w:r>
            <w:r w:rsidRPr="000A06B0">
              <w:rPr>
                <w:rFonts w:ascii="宋体" w:eastAsia="宋体" w:hAnsi="宋体"/>
                <w:sz w:val="24"/>
              </w:rPr>
              <w:t>：引用心理学实验数据和研究成果，破解常见的吸引力迷思</w:t>
            </w:r>
          </w:p>
          <w:p w14:paraId="138676D7" w14:textId="01C3CD64" w:rsidR="000A06B0" w:rsidRDefault="000A06B0" w:rsidP="004D448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/>
                <w:sz w:val="24"/>
              </w:rPr>
            </w:pPr>
            <w:r w:rsidRPr="000A06B0">
              <w:rPr>
                <w:rFonts w:ascii="宋体" w:eastAsia="宋体" w:hAnsi="宋体"/>
                <w:b/>
                <w:bCs/>
                <w:sz w:val="24"/>
              </w:rPr>
              <w:t>3.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层次分析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建构策略</w:t>
            </w:r>
            <w:r w:rsidRPr="000A06B0">
              <w:rPr>
                <w:rFonts w:ascii="宋体" w:eastAsia="宋体" w:hAnsi="宋体"/>
                <w:sz w:val="24"/>
              </w:rPr>
              <w:t>：将吸引力分为外表、行为、特质、价值观等层次，分析各层次的特点和持久度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0F4001D" w14:textId="77FFAF22" w:rsidR="00B858D7" w:rsidRPr="00180D0C" w:rsidRDefault="000A06B0" w:rsidP="004D448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0A06B0">
              <w:rPr>
                <w:rFonts w:ascii="宋体" w:eastAsia="宋体" w:hAnsi="宋体"/>
                <w:b/>
                <w:bCs/>
                <w:sz w:val="24"/>
              </w:rPr>
              <w:t>4.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“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真实榜样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”</w:t>
            </w:r>
            <w:r w:rsidRPr="000A06B0">
              <w:rPr>
                <w:rFonts w:ascii="宋体" w:eastAsia="宋体" w:hAnsi="宋体"/>
                <w:b/>
                <w:bCs/>
                <w:sz w:val="24"/>
              </w:rPr>
              <w:t>展示策略</w:t>
            </w:r>
            <w:r w:rsidRPr="000A06B0">
              <w:rPr>
                <w:rFonts w:ascii="宋体" w:eastAsia="宋体" w:hAnsi="宋体"/>
                <w:sz w:val="24"/>
              </w:rPr>
              <w:t>：通过案例分析展示那些超越外表吸引力的成功关系范例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2839B907" w14:textId="347408FD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本节课秉承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b/>
                <w:bCs/>
                <w:sz w:val="24"/>
              </w:rPr>
              <w:t>科学破迷、层次建构、内外兼修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497BF83E" w14:textId="77777777" w:rsidR="00AE3C99" w:rsidRPr="00AE3C99" w:rsidRDefault="00AE3C99" w:rsidP="00AE3C9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E3C99">
              <w:rPr>
                <w:rFonts w:ascii="宋体" w:eastAsia="宋体" w:hAnsi="宋体" w:hint="eastAsia"/>
                <w:b/>
                <w:bCs/>
                <w:sz w:val="24"/>
              </w:rPr>
              <w:t>1.从迷思到科学：用实验破解误区</w:t>
            </w:r>
          </w:p>
          <w:p w14:paraId="33EF2CEE" w14:textId="140DCAEF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设计：以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一分钟速配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实验开场，让学生快速做出吸引力判断并分析选择理由，继而引出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这些选择背后是否有规律可循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的探讨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799B6818" w14:textId="386AC0C7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意图：通过亲身体验引发认知兴趣，自然过渡到科学理论的讲解，让学生从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凭感觉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转向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找规律</w:t>
            </w:r>
            <w:r>
              <w:rPr>
                <w:rFonts w:ascii="宋体" w:eastAsia="宋体" w:hAnsi="宋体" w:hint="eastAsia"/>
                <w:sz w:val="24"/>
              </w:rPr>
              <w:t>”。</w:t>
            </w:r>
          </w:p>
          <w:p w14:paraId="59F5656A" w14:textId="77777777" w:rsidR="00AE3C99" w:rsidRPr="00AE3C99" w:rsidRDefault="00AE3C99" w:rsidP="00AE3C9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E3C99">
              <w:rPr>
                <w:rFonts w:ascii="宋体" w:eastAsia="宋体" w:hAnsi="宋体" w:hint="eastAsia"/>
                <w:b/>
                <w:bCs/>
                <w:sz w:val="24"/>
              </w:rPr>
              <w:t>2.从表象到本质：构建层次化认知</w:t>
            </w:r>
          </w:p>
          <w:p w14:paraId="364087B9" w14:textId="77777777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设计：将吸引力分解为四个层次：外表吸引（短暂）、行为吸引（中期）、</w:t>
            </w:r>
            <w:r w:rsidRPr="00AE3C99">
              <w:rPr>
                <w:rFonts w:ascii="宋体" w:eastAsia="宋体" w:hAnsi="宋体" w:hint="eastAsia"/>
                <w:sz w:val="24"/>
              </w:rPr>
              <w:lastRenderedPageBreak/>
              <w:t>特质吸引（长期）、价值观吸引（持久），分析每个层次的特征和维系时间</w:t>
            </w:r>
          </w:p>
          <w:p w14:paraId="64A3937B" w14:textId="77777777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意图：帮助学生建立立体化的吸引力认知框架，理解为什么有些吸引转瞬即逝，有些却能历久弥新</w:t>
            </w:r>
          </w:p>
          <w:p w14:paraId="725DB643" w14:textId="77777777" w:rsidR="00AE3C99" w:rsidRPr="00AE3C99" w:rsidRDefault="00AE3C99" w:rsidP="00AE3C9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E3C99">
              <w:rPr>
                <w:rFonts w:ascii="宋体" w:eastAsia="宋体" w:hAnsi="宋体" w:hint="eastAsia"/>
                <w:b/>
                <w:bCs/>
                <w:sz w:val="24"/>
              </w:rPr>
              <w:t>3.从知到行：寻求平衡发展之道</w:t>
            </w:r>
          </w:p>
          <w:p w14:paraId="10262DB7" w14:textId="6F9D1D11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设计：组织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提升吸引力，应该重在修炼内在还是优化外在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的微型辩论，引导学生在辩论中认识到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内外兼修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的必要性和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E3C99">
              <w:rPr>
                <w:rFonts w:ascii="宋体" w:eastAsia="宋体" w:hAnsi="宋体" w:hint="eastAsia"/>
                <w:sz w:val="24"/>
              </w:rPr>
              <w:t>重在内在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E3C99">
              <w:rPr>
                <w:rFonts w:ascii="宋体" w:eastAsia="宋体" w:hAnsi="宋体" w:hint="eastAsia"/>
                <w:sz w:val="24"/>
              </w:rPr>
              <w:t>的长期价值</w:t>
            </w:r>
          </w:p>
          <w:p w14:paraId="23B4853F" w14:textId="77777777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意图：通过观点交锋促进学生深度思考，找到个人成长的平衡点，避免非此即彼的极端选择</w:t>
            </w:r>
          </w:p>
          <w:p w14:paraId="5F688B77" w14:textId="77777777" w:rsidR="00AE3C99" w:rsidRPr="00AE3C99" w:rsidRDefault="00AE3C99" w:rsidP="00AE3C9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E3C99">
              <w:rPr>
                <w:rFonts w:ascii="宋体" w:eastAsia="宋体" w:hAnsi="宋体" w:hint="eastAsia"/>
                <w:b/>
                <w:bCs/>
                <w:sz w:val="24"/>
              </w:rPr>
              <w:t>4.从技术到艺术：回归关系本质</w:t>
            </w:r>
          </w:p>
          <w:p w14:paraId="48BB3C4E" w14:textId="77777777" w:rsidR="00AE3C99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设计：在课程结尾强调，了解吸引力法则是为了更理性地开始关系，而非机械地操纵情感。真正健康的关系建立在真诚和相互尊重的基础上</w:t>
            </w:r>
          </w:p>
          <w:p w14:paraId="0CA22189" w14:textId="414CB87A" w:rsidR="00B41343" w:rsidRPr="00AE3C99" w:rsidRDefault="00AE3C99" w:rsidP="00AE3C9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E3C99">
              <w:rPr>
                <w:rFonts w:ascii="宋体" w:eastAsia="宋体" w:hAnsi="宋体" w:hint="eastAsia"/>
                <w:sz w:val="24"/>
              </w:rPr>
              <w:t>意图：进行价值引领，防止学生对吸引力知识的技术化误用，将学习目标导向建立真实、深刻的亲密关系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7EC0B9B8" w14:textId="369AA65F" w:rsidR="00C54D4B" w:rsidRPr="00C54D4B" w:rsidRDefault="00C54D4B" w:rsidP="00C54D4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C54D4B">
              <w:rPr>
                <w:rFonts w:ascii="宋体" w:eastAsia="宋体" w:hAnsi="宋体"/>
                <w:sz w:val="24"/>
              </w:rPr>
              <w:t>设计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C54D4B">
              <w:rPr>
                <w:rFonts w:ascii="宋体" w:eastAsia="宋体" w:hAnsi="宋体"/>
                <w:sz w:val="24"/>
              </w:rPr>
              <w:t>虚拟速配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C54D4B">
              <w:rPr>
                <w:rFonts w:ascii="宋体" w:eastAsia="宋体" w:hAnsi="宋体"/>
                <w:sz w:val="24"/>
              </w:rPr>
              <w:t>资料卡（包含不同类型的基本信息和个人特质）</w:t>
            </w:r>
          </w:p>
          <w:p w14:paraId="42A1D515" w14:textId="77777777" w:rsidR="00C54D4B" w:rsidRPr="00C54D4B" w:rsidRDefault="00C54D4B" w:rsidP="00C54D4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C54D4B">
              <w:rPr>
                <w:rFonts w:ascii="宋体" w:eastAsia="宋体" w:hAnsi="宋体"/>
                <w:sz w:val="24"/>
              </w:rPr>
              <w:t>准备吸引力要素排序卡片</w:t>
            </w:r>
          </w:p>
          <w:p w14:paraId="55786F9A" w14:textId="77777777" w:rsidR="00C54D4B" w:rsidRPr="00C54D4B" w:rsidRDefault="00C54D4B" w:rsidP="00C54D4B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C54D4B">
              <w:rPr>
                <w:rFonts w:ascii="宋体" w:eastAsia="宋体" w:hAnsi="宋体"/>
                <w:sz w:val="24"/>
              </w:rPr>
              <w:t>制作吸引力层次模型可视化图表</w:t>
            </w:r>
          </w:p>
          <w:p w14:paraId="11073ECA" w14:textId="450CA549" w:rsidR="003F67B1" w:rsidRPr="00C54D4B" w:rsidRDefault="00C54D4B" w:rsidP="00C331B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54D4B">
              <w:rPr>
                <w:rFonts w:ascii="宋体" w:eastAsia="宋体" w:hAnsi="宋体"/>
                <w:sz w:val="24"/>
              </w:rPr>
              <w:t>准备心理学实验案例和相关数据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1244FAC4" w:rsidR="00712C40" w:rsidRPr="00142775" w:rsidRDefault="00C54D4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导入：速配实验，激发思考（15分钟）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77287BE7" w:rsidR="00712C40" w:rsidRPr="004E2BCE" w:rsidRDefault="00C54D4B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开展实验：组织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三分钟虚拟速配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活动，让学生浏览10份匿名资料卡并选择最想深入了解的3位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引导分享：邀请学生分享选择理由，将关键词板书归类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引出课题：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这些选择看似随意，其实蕴含着吸引力的科学规律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3151FA97" w:rsidR="00712C40" w:rsidRPr="00564013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参与选择：快速浏览资料并做出选择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分享理由：阐述吸引自己的具体特质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产生好奇：对吸引力背后的科学原理产生兴趣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1CF96E01" w:rsidR="00712C40" w:rsidRPr="00564013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通过真实决策体验激发探究动机，从个人感性经验出发，为理论学习奠定基础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55FD636E" w:rsidR="00564013" w:rsidRPr="00142775" w:rsidRDefault="00C54D4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lastRenderedPageBreak/>
              <w:t>探索：要素解析，科学解读（25分钟）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1308AE08" w:rsidR="00564013" w:rsidRPr="00B0123F" w:rsidRDefault="00C54D4B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系统讲解四大吸引力要素：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接近性：地理与心理距离的影响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相似性：态度、价值观、背景的契合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互补性：需求与特质的相互补充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互惠性：好感和回馈的良性循环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展示研究数据：引用心理学实验证明各要素效应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引导反思：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回顾你的速配选择，哪些要素在起作用？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39A73D08" w:rsidR="00564013" w:rsidRPr="00564013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理论学习：系统掌握吸引力要素体系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验证分析：用理论重新解读自己的选择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深化理解：认识到选择的非随机性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0E8F2BB6" w:rsidR="00564013" w:rsidRPr="00564013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构建系统知识框架，帮助学生用科学理论解读感性经验，完成从现象到本质的认知提升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68B81265" w:rsidR="00564013" w:rsidRPr="00142775" w:rsidRDefault="00C54D4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深化：效应探秘，破解迷思（20分钟）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7E3125D7" w:rsidR="00564013" w:rsidRPr="00564013" w:rsidRDefault="00C54D4B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解析三大效应：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吊桥效应：生理唤醒的错误归因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黑暗效应：降低社交焦虑的情境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 罗密欧与朱丽叶效应：阻碍增强的逆反心理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组织案例辨析：提供现实情境分析这些效应的表现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强调理性认知：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激情不等于爱情，要学会辨别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6CCA5CEF" w:rsidR="00564013" w:rsidRPr="00564013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掌握原理：理解心理效应的运作机制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案例分析：识别现实中的效应表现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培养警觉：建立对强烈情感的理性审视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0F6B0676" w:rsidR="00564013" w:rsidRPr="00142775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提升情感辨别力，帮助学生识别和防范因情境因素产生的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虚假吸引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385B3F0A" w:rsidR="007B711C" w:rsidRPr="00142775" w:rsidRDefault="00C54D4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应用：层次建构，内外兼修（20分钟）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125B982B" w:rsidR="007B711C" w:rsidRPr="00564013" w:rsidRDefault="00C54D4B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展示层次模型：解析四个吸引力层次：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 外表吸引（短暂）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 行为吸引（中期）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 特质吸引（长期）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- 价值观吸引（持久）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组织小组讨论：如何平衡不同层次的吸引力建设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引导价值选择：强调内在品质的持久价值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438AB30B" w:rsidR="007B711C" w:rsidRPr="00564013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构建认知：理解吸引力的层次性和动态性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探讨策略：分享个人成长规划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明确方向：确立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内外兼修，重在内在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的发展路径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3E27C24C" w:rsidR="007B711C" w:rsidRPr="00142775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指导个人发展，帮助学生建立全面的吸引力认知，规划自我提升方向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26E7AAF5" w:rsidR="007B711C" w:rsidRPr="00142775" w:rsidRDefault="00C54D4B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升华：理性认知，智慧选择（10分钟）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17EC6825" w:rsidR="007B711C" w:rsidRPr="007B711C" w:rsidRDefault="00C54D4B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总结强调：吸引力是开始，真诚是维系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布置实践作业：记录一周内感受到的吸引力瞬间并用理论分析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预告下节：有了相互吸引，接下来如何表达爱？下节课探讨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爱的语言</w:t>
            </w:r>
            <w:r w:rsidR="00B913D8"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02E05454" w:rsidR="007B711C" w:rsidRPr="007B711C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1. 整合认知：形成完整的吸引力知识体系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2. 规划实践：将理论应用于生活观察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br/>
              <w:t>3. 持续期待：为后续学习做好准备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6B86213F" w:rsidR="007B711C" w:rsidRPr="00142775" w:rsidRDefault="00C54D4B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完成认知闭环，强化理论向实践的转化，建立持续学习的动力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4BD8454E" w14:textId="61C519F4" w:rsidR="00C54D4B" w:rsidRPr="00C54D4B" w:rsidRDefault="00C54D4B" w:rsidP="00C54D4B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在讨论外表吸引力时，要着重强调审美的多样性，避免单一标准。通过展示不同文化、不同时代的审美变迁，帮助学生建立包容、健康的审美观。</w:t>
            </w:r>
          </w:p>
          <w:p w14:paraId="5CB25A57" w14:textId="1EAF25A6" w:rsidR="00F575AB" w:rsidRPr="00C54D4B" w:rsidRDefault="00C54D4B" w:rsidP="00C54D4B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54D4B">
              <w:rPr>
                <w:rFonts w:ascii="宋体" w:eastAsia="宋体" w:hAnsi="宋体"/>
                <w:sz w:val="21"/>
                <w:szCs w:val="21"/>
              </w:rPr>
              <w:t>本课程通过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体验-理论-辨析-应用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54D4B">
              <w:rPr>
                <w:rFonts w:ascii="宋体" w:eastAsia="宋体" w:hAnsi="宋体"/>
                <w:sz w:val="21"/>
                <w:szCs w:val="21"/>
              </w:rPr>
              <w:t>的完整闭环，既保证了知识的科学性，又确保了学习的趣味性和实用性，能够有效改变学生对吸引力的片面认知。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8729" w14:textId="77777777" w:rsidR="00FA0650" w:rsidRDefault="00FA0650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3491B6" w14:textId="77777777" w:rsidR="00FA0650" w:rsidRDefault="00FA0650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1A58" w14:textId="77777777" w:rsidR="00FA0650" w:rsidRDefault="00FA0650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444070" w14:textId="77777777" w:rsidR="00FA0650" w:rsidRDefault="00FA0650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0"/>
  </w:num>
  <w:num w:numId="2" w16cid:durableId="208880614">
    <w:abstractNumId w:val="3"/>
  </w:num>
  <w:num w:numId="3" w16cid:durableId="1963346744">
    <w:abstractNumId w:val="1"/>
  </w:num>
  <w:num w:numId="4" w16cid:durableId="7285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64CAF"/>
    <w:rsid w:val="000679DA"/>
    <w:rsid w:val="000A06B0"/>
    <w:rsid w:val="000D4AF9"/>
    <w:rsid w:val="000F7A1A"/>
    <w:rsid w:val="00142775"/>
    <w:rsid w:val="00174D4A"/>
    <w:rsid w:val="00180B5C"/>
    <w:rsid w:val="00180D0C"/>
    <w:rsid w:val="001912A5"/>
    <w:rsid w:val="001967F8"/>
    <w:rsid w:val="001E4CB4"/>
    <w:rsid w:val="0023347A"/>
    <w:rsid w:val="002C37A1"/>
    <w:rsid w:val="00380445"/>
    <w:rsid w:val="003F67B1"/>
    <w:rsid w:val="00455312"/>
    <w:rsid w:val="00464AB1"/>
    <w:rsid w:val="0048437C"/>
    <w:rsid w:val="004859E2"/>
    <w:rsid w:val="004D4488"/>
    <w:rsid w:val="004E2BCE"/>
    <w:rsid w:val="005633DD"/>
    <w:rsid w:val="00564013"/>
    <w:rsid w:val="00597DDB"/>
    <w:rsid w:val="005D5106"/>
    <w:rsid w:val="00653032"/>
    <w:rsid w:val="00660083"/>
    <w:rsid w:val="00681333"/>
    <w:rsid w:val="00691B99"/>
    <w:rsid w:val="006F71CC"/>
    <w:rsid w:val="00712C40"/>
    <w:rsid w:val="00782AE9"/>
    <w:rsid w:val="007B711C"/>
    <w:rsid w:val="007D49EB"/>
    <w:rsid w:val="007E2661"/>
    <w:rsid w:val="00990596"/>
    <w:rsid w:val="009916AA"/>
    <w:rsid w:val="009A620D"/>
    <w:rsid w:val="009D6BEB"/>
    <w:rsid w:val="00A32989"/>
    <w:rsid w:val="00A57141"/>
    <w:rsid w:val="00A658C6"/>
    <w:rsid w:val="00A81164"/>
    <w:rsid w:val="00A92BBD"/>
    <w:rsid w:val="00AE3C99"/>
    <w:rsid w:val="00B0123F"/>
    <w:rsid w:val="00B275AD"/>
    <w:rsid w:val="00B4064A"/>
    <w:rsid w:val="00B41343"/>
    <w:rsid w:val="00B66979"/>
    <w:rsid w:val="00B858D7"/>
    <w:rsid w:val="00B913D8"/>
    <w:rsid w:val="00BC5A4B"/>
    <w:rsid w:val="00BD3E30"/>
    <w:rsid w:val="00BD513A"/>
    <w:rsid w:val="00C049DB"/>
    <w:rsid w:val="00C23452"/>
    <w:rsid w:val="00C331B6"/>
    <w:rsid w:val="00C54D4B"/>
    <w:rsid w:val="00CD1BC6"/>
    <w:rsid w:val="00D070A6"/>
    <w:rsid w:val="00D8758F"/>
    <w:rsid w:val="00DD195C"/>
    <w:rsid w:val="00E47F4F"/>
    <w:rsid w:val="00EA30E2"/>
    <w:rsid w:val="00EA7A86"/>
    <w:rsid w:val="00F575AB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5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42</cp:revision>
  <dcterms:created xsi:type="dcterms:W3CDTF">2025-11-01T14:13:00Z</dcterms:created>
  <dcterms:modified xsi:type="dcterms:W3CDTF">2025-11-04T02:48:00Z</dcterms:modified>
</cp:coreProperties>
</file>