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/>
          <w:b/>
          <w:sz w:val="44"/>
        </w:rPr>
        <w:t>书法</w:t>
      </w:r>
      <w:r>
        <w:rPr>
          <w:rFonts w:hint="eastAsia" w:ascii="宋体" w:hAnsi="宋体" w:eastAsia="宋体"/>
          <w:b/>
          <w:sz w:val="44"/>
          <w:lang w:val="en-US" w:eastAsia="zh-CN"/>
        </w:rPr>
        <w:t>入门</w:t>
      </w:r>
      <w:r>
        <w:rPr>
          <w:rFonts w:ascii="宋体" w:hAnsi="宋体" w:eastAsia="宋体"/>
          <w:b/>
          <w:sz w:val="44"/>
        </w:rPr>
        <w:t>课程标准</w:t>
      </w:r>
      <w:r>
        <w:rPr>
          <w:rFonts w:ascii="宋体" w:hAnsi="宋体" w:eastAsia="宋体"/>
          <w:b/>
          <w:sz w:val="44"/>
        </w:rPr>
        <w:br w:type="textWrapping"/>
      </w:r>
    </w:p>
    <w:p>
      <w:pPr>
        <w:ind w:left="0" w:leftChars="0" w:firstLine="0" w:firstLineChars="0"/>
        <w:rPr>
          <w:rFonts w:hint="default" w:eastAsia="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一、课程基本信息</w:t>
      </w:r>
    </w:p>
    <w:p>
      <w:pPr>
        <w:rPr>
          <w:rFonts w:hint="eastAsia" w:eastAsia="仿宋"/>
          <w:lang w:val="en-US" w:eastAsia="zh-CN"/>
        </w:rPr>
      </w:pPr>
      <w:r>
        <w:t>课程名称：书法</w:t>
      </w:r>
      <w:r>
        <w:rPr>
          <w:rFonts w:hint="eastAsia"/>
          <w:lang w:val="en-US" w:eastAsia="zh-CN"/>
        </w:rPr>
        <w:t>入门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开课部门：海洋技术系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任课教师：张冰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通识模块：生活与美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开课对象：全校学生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开课人数：30-40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学分/学时：2/32</w:t>
      </w:r>
    </w:p>
    <w:p>
      <w:p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rFonts w:hint="default"/>
          <w:b/>
          <w:bCs/>
          <w:lang w:val="en-US" w:eastAsia="zh-CN"/>
        </w:rPr>
        <w:t>课程简介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毛笔书法作为中国传统文化的核心艺术形式，兼具技法训练与文化熏陶的双重价值。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课程综合涵盖入门基础、进阶训练及创作实践等内容,具体涵盖‌基础技法（‌执笔方法—普遍采用“五指执笔法”，强调“指实掌虚”，确保运笔灵活稳定；‌笔画训练—从基本笔画入手，逐步掌握用笔力道与墨色变化；‌工具认知—学习“文房四宝”的选用与保养，了解毛笔分类及适用场景）、‌书体学习（‌楷书、魏碑—以颜体或元桢墓志为例，注重结构规律与偏旁讲解；隶书‌—学习隶书的波磔特征如《曹全碑》《石门颂》《伊秉绶隶书》）、‌文化与实践结合（通过临摹名家碑帖、集字创作、作品创作（落款、盖章）等实践，提升审美能力，增强学习趣味性与社会应用性。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希望课程通过“技法-文化-创作”三位一体的教学体系，帮助学生从基础掌握到艺术升华，兼具实用性与美学价值。</w:t>
      </w:r>
    </w:p>
    <w:p>
      <w:pPr>
        <w:ind w:left="0" w:leftChars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三、</w:t>
      </w:r>
      <w:r>
        <w:rPr>
          <w:b/>
          <w:bCs/>
        </w:rPr>
        <w:t>课程目标</w:t>
      </w:r>
    </w:p>
    <w:p>
      <w:r>
        <w:t>知识目标：通过研究《书法》，学生能够了解书法发展简史，熟悉各种字体的特点，掌握书法的研究方法。</w:t>
      </w:r>
    </w:p>
    <w:p>
      <w:r>
        <w:t>技能目标：过研究《书法》，提高学生对书法研究的兴趣，使学生养成良好的书写惯，掌握楷书、行书的书写技巧，书写能力有一定的提高，达到写出规范、工整、美观、快速、具有一定艺术美的程度。使学生能在工作中写出一手规范、工整的字，提高学生的欣赏和审美能力。</w:t>
      </w:r>
    </w:p>
    <w:p>
      <w:r>
        <w:rPr>
          <w:rFonts w:hint="eastAsia"/>
          <w:lang w:val="en-US" w:eastAsia="zh-CN"/>
        </w:rPr>
        <w:t>素质目标：</w:t>
      </w:r>
      <w:r>
        <w:t>要求学生</w:t>
      </w:r>
      <w:r>
        <w:rPr>
          <w:rFonts w:hint="eastAsia"/>
          <w:lang w:val="en-US" w:eastAsia="zh-CN"/>
        </w:rPr>
        <w:t>在</w:t>
      </w:r>
      <w:r>
        <w:t>了解书法艺术的性质、历史概况、主要书体的艺术特点和书写技法</w:t>
      </w:r>
      <w:r>
        <w:rPr>
          <w:rFonts w:hint="eastAsia"/>
          <w:lang w:val="en-US" w:eastAsia="zh-CN"/>
        </w:rPr>
        <w:t>的基础上</w:t>
      </w:r>
      <w:r>
        <w:t>，掌握书法美学的基础理论和鉴赏方法，培养感受书法美的敏感性和提高书法审美水平。</w:t>
      </w:r>
    </w:p>
    <w:p>
      <w:pPr>
        <w:rPr>
          <w:rFonts w:hint="eastAsia"/>
        </w:rPr>
      </w:pPr>
      <w:r>
        <w:rPr>
          <w:rFonts w:hint="eastAsia"/>
        </w:rPr>
        <w:t>教学思想</w:t>
      </w:r>
      <w:r>
        <w:rPr>
          <w:rFonts w:hint="eastAsia"/>
          <w:lang w:eastAsia="zh-CN"/>
        </w:rPr>
        <w:t>：</w:t>
      </w:r>
      <w:r>
        <w:rPr>
          <w:rFonts w:hint="eastAsia"/>
        </w:rPr>
        <w:t>培养对书法艺术的兴趣，全面提高审美能力和书写技能</w:t>
      </w:r>
      <w:r>
        <w:rPr>
          <w:rFonts w:hint="eastAsia"/>
          <w:lang w:eastAsia="zh-CN"/>
        </w:rPr>
        <w:t>；</w:t>
      </w:r>
      <w:r>
        <w:rPr>
          <w:rFonts w:hint="eastAsia"/>
        </w:rPr>
        <w:t>快乐与放松的进行书写训练，书法是烦忙日常生活与工作的渲泄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书法是现代社会的交际方式，以笔会友</w:t>
      </w:r>
      <w:r>
        <w:rPr>
          <w:rFonts w:hint="eastAsia"/>
          <w:lang w:eastAsia="zh-CN"/>
        </w:rPr>
        <w:t>；</w:t>
      </w:r>
      <w:r>
        <w:rPr>
          <w:rFonts w:hint="eastAsia"/>
        </w:rPr>
        <w:t>书写训练与书法展览观摹相结合，扩大书法视野。</w:t>
      </w:r>
    </w:p>
    <w:p>
      <w:p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四、课程内容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主要包含：</w:t>
      </w:r>
      <w:r>
        <w:rPr>
          <w:rFonts w:hint="default"/>
          <w:lang w:val="en-US" w:eastAsia="zh-CN"/>
        </w:rPr>
        <w:t>‌基础技法（‌执笔方法—普遍采用“五指执笔法”，强调“指实掌虚”，确保运笔灵活稳定；‌笔画训练—从基本笔画入手，逐步掌握用笔力道与墨色变化；‌工具认知—学习“文房四宝”的选用与保养，了解毛笔分类及适用场景）、‌书体学习（‌楷书、魏碑—以颜体或元桢墓志为例，注重结构规律与偏旁讲解；隶书‌—学习隶书的波磔特征如《曹全碑》《石门颂》《伊秉绶隶书》）、‌文化与实践结合（通过临摹名家碑帖、集字创作、作品创作（落款、盖章）等实践，提升审美能力，增强学习趣味性与社会应用性。）</w:t>
      </w:r>
    </w:p>
    <w:p>
      <w:pPr>
        <w:rPr>
          <w:rFonts w:hint="eastAsia"/>
        </w:rPr>
      </w:pPr>
      <w:r>
        <w:rPr>
          <w:rFonts w:hint="eastAsia"/>
        </w:rPr>
        <w:t>教学阶段</w:t>
      </w:r>
      <w:r>
        <w:rPr>
          <w:rFonts w:hint="eastAsia"/>
          <w:lang w:val="en-US" w:eastAsia="zh-CN"/>
        </w:rPr>
        <w:t>包括：</w:t>
      </w:r>
      <w:r>
        <w:rPr>
          <w:rFonts w:hint="eastAsia"/>
        </w:rPr>
        <w:t>线条训练阶段：熟悉书写工具，熟练运用毛笔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临摹审美阶段：书写的基本是求美观，即整齐、匀称、统一，以达到更好的宣传交际效果，每种字体选一个碑帖为切入口</w:t>
      </w:r>
      <w:r>
        <w:rPr>
          <w:rFonts w:hint="eastAsia"/>
          <w:lang w:eastAsia="zh-CN"/>
        </w:rPr>
        <w:t>；</w:t>
      </w:r>
      <w:r>
        <w:rPr>
          <w:rFonts w:hint="eastAsia"/>
        </w:rPr>
        <w:t>初级创作阶段：是</w:t>
      </w:r>
      <w:r>
        <w:rPr>
          <w:rFonts w:hint="eastAsia"/>
          <w:lang w:val="en-US" w:eastAsia="zh-CN"/>
        </w:rPr>
        <w:t>临摹</w:t>
      </w:r>
      <w:r>
        <w:rPr>
          <w:rFonts w:hint="eastAsia"/>
        </w:rPr>
        <w:t>阶段的再加工、艺术因素更丰富,可比之为有生命的东西的姿态、活动、精神、品性的美。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五、实施计划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803"/>
        <w:gridCol w:w="2214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计划课时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教学周次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教学方式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中国书法概论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多媒体讲授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中国历代书法理论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多媒体讲授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书体演变史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多媒体讲授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中国书法简史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多媒体讲授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书法作品的形式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5-6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多媒体讲授+示范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先秦与两汉书法临创</w:t>
            </w:r>
          </w:p>
        </w:tc>
        <w:tc>
          <w:tcPr>
            <w:tcW w:w="180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7-16</w:t>
            </w:r>
          </w:p>
        </w:tc>
        <w:tc>
          <w:tcPr>
            <w:tcW w:w="221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多媒体讲授+示范+学生实操</w:t>
            </w:r>
          </w:p>
        </w:tc>
      </w:tr>
    </w:tbl>
    <w:p>
      <w:r>
        <w:t>本课程旨在让学生掌握楷书、行书和草书</w:t>
      </w:r>
      <w:bookmarkStart w:id="0" w:name="_GoBack"/>
      <w:bookmarkEnd w:id="0"/>
      <w:r>
        <w:t>的基本笔画和偏旁部首的分类和写法，了解书法的欣赏方法和中国传统文化。教学建议包括讲授、练、指导、总结的循环方式，强调正确的研究方法和书法审美提高的教学，结合多媒体手段和书法创作展等教学手段。</w:t>
      </w:r>
      <w:r>
        <w:rPr>
          <w:rFonts w:hint="eastAsia"/>
          <w:lang w:val="en-US" w:eastAsia="zh-CN"/>
        </w:rPr>
        <w:t>使用</w:t>
      </w:r>
      <w:r>
        <w:t>讲授-练-指导-总结的循环方式，强调正确的研究方法和书法审美提高的教学。在书法练过程中，坚持“研究-临-描摹-再临-记忆-总结”这样的练方法。同时，定期开展书法创作展，提高学生的创作能力和审美水平。</w:t>
      </w:r>
    </w:p>
    <w:p>
      <w:pPr>
        <w:ind w:left="0" w:leftChars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六、</w:t>
      </w:r>
      <w:r>
        <w:rPr>
          <w:b/>
          <w:bCs/>
        </w:rPr>
        <w:t>课程资源的开发和利用</w:t>
      </w:r>
    </w:p>
    <w:p>
      <w:r>
        <w:t>根据不同内容，制作相应的挂图和课件，利用多媒体技术，使课堂教学更生动、直观，激发学生兴趣，提高教学质量。</w:t>
      </w:r>
    </w:p>
    <w:p>
      <w:pPr>
        <w:ind w:left="0" w:leftChars="0" w:firstLine="0" w:firstLineChars="0"/>
        <w:rPr>
          <w:b/>
          <w:bCs/>
        </w:rPr>
      </w:pPr>
      <w:r>
        <w:rPr>
          <w:rFonts w:hint="eastAsia"/>
          <w:b/>
          <w:bCs/>
          <w:lang w:val="en-US" w:eastAsia="zh-CN"/>
        </w:rPr>
        <w:t>七、</w:t>
      </w:r>
      <w:r>
        <w:rPr>
          <w:b/>
          <w:bCs/>
        </w:rPr>
        <w:t>教学评价</w:t>
      </w:r>
    </w:p>
    <w:p>
      <w:pPr>
        <w:ind w:left="0" w:leftChars="0" w:firstLine="640" w:firstLineChars="200"/>
      </w:pPr>
      <w:r>
        <w:t>期未考核包括</w:t>
      </w:r>
      <w:r>
        <w:rPr>
          <w:rFonts w:hint="eastAsia"/>
          <w:lang w:val="en-US" w:eastAsia="zh-CN"/>
        </w:rPr>
        <w:t>平时考勤</w:t>
      </w:r>
      <w:r>
        <w:t>和临写、自由创作两项书法实践考试，其中</w:t>
      </w:r>
      <w:r>
        <w:rPr>
          <w:rFonts w:hint="eastAsia"/>
          <w:lang w:val="en-US" w:eastAsia="zh-CN"/>
        </w:rPr>
        <w:t>考勤</w:t>
      </w:r>
      <w:r>
        <w:t>占30%，</w:t>
      </w:r>
      <w:r>
        <w:rPr>
          <w:rFonts w:hint="eastAsia"/>
          <w:lang w:val="en-US" w:eastAsia="zh-CN"/>
        </w:rPr>
        <w:t>临写创作</w:t>
      </w:r>
      <w:r>
        <w:t>占70%。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MDdjNjZhZmEzM2NhNjc1YzI2NDE4ZWYxMjE0MDAifQ=="/>
    <w:docVar w:name="KSO_WPS_MARK_KEY" w:val="2c1c7f43-890f-424c-840b-0872c26dabb7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3B231A7"/>
    <w:rsid w:val="215E2587"/>
    <w:rsid w:val="2B7C3127"/>
    <w:rsid w:val="47EA3C37"/>
    <w:rsid w:val="504518E1"/>
    <w:rsid w:val="53C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640" w:lineRule="exact"/>
      <w:ind w:firstLine="640"/>
    </w:pPr>
    <w:rPr>
      <w:rFonts w:ascii="Times New Roman" w:hAnsi="Times New Roman" w:eastAsia="仿宋" w:cstheme="minorBidi"/>
      <w:sz w:val="3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A1" w:themeFill="background1" w:themeFillShade="D8"/>
      </w:tcPr>
    </w:tblStylePr>
    <w:tblStylePr w:type="band1Horz">
      <w:tblPr/>
      <w:tcPr>
        <w:shd w:val="clear" w:color="auto" w:fill="9AD7A1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A1" w:themeFill="background1" w:themeFillShade="D8"/>
      </w:tcPr>
    </w:tblStylePr>
    <w:tblStylePr w:type="band1Horz">
      <w:tblPr/>
      <w:tcPr>
        <w:shd w:val="clear" w:color="auto" w:fill="9AD7A1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A1" w:themeFill="background1" w:themeFillShade="D8"/>
      </w:tcPr>
    </w:tblStylePr>
    <w:tblStylePr w:type="band1Horz">
      <w:tblPr/>
      <w:tcPr>
        <w:shd w:val="clear" w:color="auto" w:fill="9AD7A1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A1" w:themeFill="background1" w:themeFillShade="D8"/>
      </w:tcPr>
    </w:tblStylePr>
    <w:tblStylePr w:type="band1Horz">
      <w:tblPr/>
      <w:tcPr>
        <w:shd w:val="clear" w:color="auto" w:fill="9AD7A1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A1" w:themeFill="background1" w:themeFillShade="D8"/>
      </w:tcPr>
    </w:tblStylePr>
    <w:tblStylePr w:type="band1Horz">
      <w:tblPr/>
      <w:tcPr>
        <w:shd w:val="clear" w:color="auto" w:fill="9AD7A1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A1" w:themeFill="background1" w:themeFillShade="D8"/>
      </w:tcPr>
    </w:tblStylePr>
    <w:tblStylePr w:type="band1Horz">
      <w:tblPr/>
      <w:tcPr>
        <w:shd w:val="clear" w:color="auto" w:fill="9AD7A1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7A1" w:themeFill="background1" w:themeFillShade="D8"/>
      </w:tcPr>
    </w:tblStylePr>
    <w:tblStylePr w:type="band1Horz">
      <w:tblPr/>
      <w:tcPr>
        <w:shd w:val="clear" w:color="auto" w:fill="9AD7A1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CAEACE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CAEAC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CAEACE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CAEAC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CAEACE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CAEAC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CAEACE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CAEAC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CAEACE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CAEAC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CAEACE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CAEAC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CAEACE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CAEAC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CAEACE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CAEACE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CAEACE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CAEACE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CAEACE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CAEACE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CAEACE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CAEACE" w:themeColor="background1" w:sz="8" w:space="0"/>
        <w:left w:val="single" w:color="CAEACE" w:themeColor="background1" w:sz="8" w:space="0"/>
        <w:bottom w:val="single" w:color="CAEACE" w:themeColor="background1" w:sz="8" w:space="0"/>
        <w:right w:val="single" w:color="CAEACE" w:themeColor="background1" w:sz="8" w:space="0"/>
        <w:insideH w:val="single" w:color="CAEACE" w:themeColor="background1" w:sz="6" w:space="0"/>
        <w:insideV w:val="single" w:color="CAEACE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24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24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AEACE" w:themeColor="background1" w:sz="8" w:space="0"/>
          <w:right w:val="single" w:color="CAEACE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AEACE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CAEACE" w:themeColor="background1" w:sz="8" w:space="0"/>
        <w:left w:val="single" w:color="CAEACE" w:themeColor="background1" w:sz="8" w:space="0"/>
        <w:bottom w:val="single" w:color="CAEACE" w:themeColor="background1" w:sz="8" w:space="0"/>
        <w:right w:val="single" w:color="CAEACE" w:themeColor="background1" w:sz="8" w:space="0"/>
        <w:insideH w:val="single" w:color="CAEACE" w:themeColor="background1" w:sz="6" w:space="0"/>
        <w:insideV w:val="single" w:color="CAEACE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24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24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AEACE" w:themeColor="background1" w:sz="8" w:space="0"/>
          <w:right w:val="single" w:color="CAEACE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AEACE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CAEACE" w:themeColor="background1" w:sz="8" w:space="0"/>
        <w:left w:val="single" w:color="CAEACE" w:themeColor="background1" w:sz="8" w:space="0"/>
        <w:bottom w:val="single" w:color="CAEACE" w:themeColor="background1" w:sz="8" w:space="0"/>
        <w:right w:val="single" w:color="CAEACE" w:themeColor="background1" w:sz="8" w:space="0"/>
        <w:insideH w:val="single" w:color="CAEACE" w:themeColor="background1" w:sz="6" w:space="0"/>
        <w:insideV w:val="single" w:color="CAEACE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24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24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AEACE" w:themeColor="background1" w:sz="8" w:space="0"/>
          <w:right w:val="single" w:color="CAEACE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AEACE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CAEACE" w:themeColor="background1" w:sz="8" w:space="0"/>
        <w:left w:val="single" w:color="CAEACE" w:themeColor="background1" w:sz="8" w:space="0"/>
        <w:bottom w:val="single" w:color="CAEACE" w:themeColor="background1" w:sz="8" w:space="0"/>
        <w:right w:val="single" w:color="CAEACE" w:themeColor="background1" w:sz="8" w:space="0"/>
        <w:insideH w:val="single" w:color="CAEACE" w:themeColor="background1" w:sz="6" w:space="0"/>
        <w:insideV w:val="single" w:color="CAEACE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24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24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AEACE" w:themeColor="background1" w:sz="8" w:space="0"/>
          <w:right w:val="single" w:color="CAEACE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AEACE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CAEACE" w:themeColor="background1" w:sz="8" w:space="0"/>
        <w:left w:val="single" w:color="CAEACE" w:themeColor="background1" w:sz="8" w:space="0"/>
        <w:bottom w:val="single" w:color="CAEACE" w:themeColor="background1" w:sz="8" w:space="0"/>
        <w:right w:val="single" w:color="CAEACE" w:themeColor="background1" w:sz="8" w:space="0"/>
        <w:insideH w:val="single" w:color="CAEACE" w:themeColor="background1" w:sz="6" w:space="0"/>
        <w:insideV w:val="single" w:color="CAEACE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24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24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AEACE" w:themeColor="background1" w:sz="8" w:space="0"/>
          <w:right w:val="single" w:color="CAEACE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AEACE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CAEACE" w:themeColor="background1" w:sz="8" w:space="0"/>
        <w:left w:val="single" w:color="CAEACE" w:themeColor="background1" w:sz="8" w:space="0"/>
        <w:bottom w:val="single" w:color="CAEACE" w:themeColor="background1" w:sz="8" w:space="0"/>
        <w:right w:val="single" w:color="CAEACE" w:themeColor="background1" w:sz="8" w:space="0"/>
        <w:insideH w:val="single" w:color="CAEACE" w:themeColor="background1" w:sz="6" w:space="0"/>
        <w:insideV w:val="single" w:color="CAEACE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24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24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AEACE" w:themeColor="background1" w:sz="8" w:space="0"/>
          <w:right w:val="single" w:color="CAEACE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AEACE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CAEACE" w:themeColor="background1" w:sz="8" w:space="0"/>
        <w:left w:val="single" w:color="CAEACE" w:themeColor="background1" w:sz="8" w:space="0"/>
        <w:bottom w:val="single" w:color="CAEACE" w:themeColor="background1" w:sz="8" w:space="0"/>
        <w:right w:val="single" w:color="CAEACE" w:themeColor="background1" w:sz="8" w:space="0"/>
        <w:insideH w:val="single" w:color="CAEACE" w:themeColor="background1" w:sz="6" w:space="0"/>
        <w:insideV w:val="single" w:color="CAEACE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24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24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CAEACE" w:themeColor="background1" w:sz="8" w:space="0"/>
          <w:right w:val="single" w:color="CAEACE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CAEACE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CAEACE" w:themeColor="background1" w:sz="8" w:space="0"/>
          <w:left w:val="single" w:color="CAEACE" w:themeColor="background1" w:sz="8" w:space="0"/>
          <w:bottom w:val="single" w:color="CAEACE" w:themeColor="background1" w:sz="8" w:space="0"/>
          <w:right w:val="single" w:color="CAEACE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CAEACE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CAEACE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AEACE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AEACE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CAEACE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CAEACE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CAEACE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AEACE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AEACE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CAEACE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CAEACE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CAEACE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AEACE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AEACE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CAEACE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CAEACE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CAEACE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AEACE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AEACE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CAEACE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CAEACE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CAEACE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AEACE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AEACE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CAEACE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CAEACE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CAEACE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AEACE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AEACE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CAEACE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CAEACE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CAEACE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CAEACE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CAEACE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CAEACE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CAEACE" w:themeColor="background1" w:sz="4" w:space="0"/>
        <w:insideV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CAEACE" w:themeColor="background1" w:sz="4" w:space="0"/>
        <w:insideV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AEACE" w:themeColor="background1" w:sz="4" w:space="0"/>
        <w:insideV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CAEACE" w:themeColor="background1" w:sz="4" w:space="0"/>
        <w:insideV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CAEACE" w:themeColor="background1" w:sz="4" w:space="0"/>
        <w:insideV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CAEACE" w:themeColor="background1" w:sz="4" w:space="0"/>
        <w:insideV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CAEACE" w:themeColor="background1" w:sz="4" w:space="0"/>
        <w:insideV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CAEACE" w:themeFill="background1"/>
      </w:tcPr>
    </w:tblStylePr>
    <w:tblStylePr w:type="la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AEACE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AEACE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CAEAC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AEACE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CAEAC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AEACE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CAEAC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AEACE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CAEAC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AEACE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CAEAC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AEACE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CAEAC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CAEACE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CAEACE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CAEAC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CAEACE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CAEACE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1586</Words>
  <Characters>1602</Characters>
  <Lines>0</Lines>
  <Paragraphs>0</Paragraphs>
  <TotalTime>76</TotalTime>
  <ScaleCrop>false</ScaleCrop>
  <LinksUpToDate>false</LinksUpToDate>
  <CharactersWithSpaces>1602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None</dc:creator>
  <cp:lastModifiedBy>海的这一边</cp:lastModifiedBy>
  <dcterms:modified xsi:type="dcterms:W3CDTF">2025-05-12T10:08:51Z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BA87BB5C68E14BD29B50C3998CA07E98</vt:lpwstr>
  </property>
</Properties>
</file>