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3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消防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电影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欣赏</w:t>
            </w: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的基本特点和代表作品。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，感受电影中的情感共鸣和人文关怀。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Style w:val="5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firstLine="480" w:firstLineChars="200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《十万火急》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：该片讲述了消防员们在各种灾难面前勇敢无畏的故事。影片不仅展现了消防员在灾难面前的专业技能，还深入探讨了他们作为普通人的情感世界。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firstLine="480" w:firstLineChars="200"/>
              <w:textAlignment w:val="top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《救火英雄》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：影片以香港消防处特种救援队为背景，讲述了几位消防员在面临巨</w:t>
            </w: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大灾难时的抉择与牺牲，展现了他们之间深厚的兄弟情谊。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auto"/>
              <w:ind w:firstLine="480" w:firstLineChars="200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《逃出生天》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C2C36"/>
                <w:spacing w:val="0"/>
                <w:sz w:val="24"/>
                <w:szCs w:val="24"/>
                <w:shd w:val="clear" w:fill="FFFFFF"/>
              </w:rPr>
              <w:t>：这部电影是一部灾难动作片，通过一场大型火灾的救援行动，展示了消防员的勇敢和智慧。影片的紧张氛围和视觉效果都非常出色。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消防片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62D54AC"/>
    <w:rsid w:val="07DE427B"/>
    <w:rsid w:val="0E653ABB"/>
    <w:rsid w:val="21D678BC"/>
    <w:rsid w:val="30225C73"/>
    <w:rsid w:val="44562E10"/>
    <w:rsid w:val="450B44F6"/>
    <w:rsid w:val="47FE17F4"/>
    <w:rsid w:val="55482300"/>
    <w:rsid w:val="55537698"/>
    <w:rsid w:val="58535244"/>
    <w:rsid w:val="61291238"/>
    <w:rsid w:val="74A8407D"/>
    <w:rsid w:val="7523271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1420</Words>
  <Characters>1429</Characters>
  <Lines>6</Lines>
  <Paragraphs>1</Paragraphs>
  <TotalTime>7</TotalTime>
  <ScaleCrop>false</ScaleCrop>
  <LinksUpToDate>false</LinksUpToDate>
  <CharactersWithSpaces>1491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2024-11-13T01:38:54Z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FFA5F730E930429DB3859060AA29D719_13</vt:lpwstr>
  </property>
</Properties>
</file>