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单元标题：计算库存持有成本</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22</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spacing w:line="440" w:lineRule="exact"/>
              <w:jc w:val="left"/>
              <w:rPr>
                <w:rFonts w:ascii="仿宋" w:hAnsi="仿宋" w:eastAsia="仿宋"/>
                <w:b/>
                <w:sz w:val="24"/>
              </w:rPr>
            </w:pPr>
            <w:r>
              <w:rPr>
                <w:rFonts w:hint="eastAsia" w:ascii="仿宋" w:hAnsi="仿宋" w:eastAsia="仿宋"/>
                <w:b/>
                <w:sz w:val="24"/>
              </w:rPr>
              <w:t>能计算库存持有成本</w:t>
            </w:r>
          </w:p>
        </w:tc>
        <w:tc>
          <w:tcPr>
            <w:tcW w:w="2525" w:type="dxa"/>
            <w:vAlign w:val="center"/>
          </w:tcPr>
          <w:p>
            <w:pPr>
              <w:tabs>
                <w:tab w:val="left" w:pos="312"/>
              </w:tabs>
              <w:spacing w:line="240" w:lineRule="atLeast"/>
              <w:rPr>
                <w:rFonts w:ascii="仿宋" w:hAnsi="仿宋" w:eastAsia="仿宋"/>
                <w:b/>
                <w:sz w:val="24"/>
              </w:rPr>
            </w:pPr>
            <w:r>
              <w:rPr>
                <w:rFonts w:ascii="仿宋" w:hAnsi="仿宋" w:eastAsia="仿宋"/>
                <w:b/>
                <w:sz w:val="24"/>
              </w:rPr>
              <w:t>1.</w:t>
            </w:r>
            <w:r>
              <w:rPr>
                <w:rFonts w:hint="eastAsia" w:ascii="仿宋" w:hAnsi="仿宋" w:eastAsia="仿宋"/>
                <w:b/>
                <w:sz w:val="24"/>
              </w:rPr>
              <w:t>了解库存持有成本的计算方法；</w:t>
            </w:r>
          </w:p>
          <w:p>
            <w:pPr>
              <w:spacing w:line="440" w:lineRule="exact"/>
              <w:rPr>
                <w:rFonts w:ascii="仿宋" w:hAnsi="仿宋" w:eastAsia="仿宋"/>
                <w:b/>
                <w:sz w:val="24"/>
              </w:rPr>
            </w:pPr>
            <w:r>
              <w:rPr>
                <w:rFonts w:ascii="仿宋" w:hAnsi="仿宋" w:eastAsia="仿宋"/>
                <w:b/>
                <w:sz w:val="24"/>
              </w:rPr>
              <w:t>2.</w:t>
            </w:r>
            <w:r>
              <w:rPr>
                <w:rFonts w:hint="eastAsia" w:ascii="仿宋" w:hAnsi="仿宋" w:eastAsia="仿宋"/>
                <w:b/>
                <w:sz w:val="24"/>
              </w:rPr>
              <w:t>了解库存持有成本的影响因素</w:t>
            </w: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仿宋" w:hAnsi="仿宋" w:eastAsia="仿宋"/>
                <w:b/>
                <w:sz w:val="28"/>
                <w:szCs w:val="28"/>
              </w:rPr>
            </w:pPr>
            <w:r>
              <w:rPr>
                <w:rFonts w:hint="eastAsia" w:ascii="仿宋" w:hAnsi="仿宋" w:eastAsia="仿宋"/>
                <w:b/>
                <w:sz w:val="28"/>
                <w:szCs w:val="28"/>
              </w:rPr>
              <w:t>情境设置：</w:t>
            </w:r>
          </w:p>
          <w:p>
            <w:pPr>
              <w:spacing w:line="440" w:lineRule="exact"/>
              <w:jc w:val="left"/>
              <w:rPr>
                <w:rFonts w:ascii="仿宋" w:hAnsi="仿宋" w:eastAsia="仿宋"/>
                <w:b/>
                <w:sz w:val="24"/>
              </w:rPr>
            </w:pPr>
            <w:r>
              <w:rPr>
                <w:rFonts w:hint="eastAsia" w:ascii="仿宋" w:hAnsi="仿宋" w:eastAsia="仿宋"/>
                <w:b/>
                <w:sz w:val="24"/>
              </w:rPr>
              <w:t>甲公司会计人员计算库存持有成本</w:t>
            </w:r>
          </w:p>
          <w:p>
            <w:pPr>
              <w:rPr>
                <w:rFonts w:ascii="仿宋" w:hAnsi="仿宋" w:eastAsia="仿宋"/>
                <w:b/>
                <w:sz w:val="24"/>
              </w:rPr>
            </w:pP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spacing w:line="440" w:lineRule="exact"/>
              <w:jc w:val="left"/>
              <w:rPr>
                <w:rFonts w:ascii="仿宋" w:hAnsi="仿宋" w:eastAsia="仿宋" w:cs="仿宋"/>
                <w:sz w:val="24"/>
              </w:rPr>
            </w:pPr>
            <w:r>
              <w:rPr>
                <w:rFonts w:hint="eastAsia" w:ascii="仿宋" w:hAnsi="仿宋" w:eastAsia="仿宋"/>
                <w:b/>
                <w:sz w:val="24"/>
              </w:rPr>
              <w:t>分组计算库存持有成本</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复习上节课内容，简单了解有关计算库存持有成本的知识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rFonts w:hint="eastAsia"/>
          <w:sz w:val="24"/>
        </w:rPr>
        <w:t>库存持有成本的构成与计算</w:t>
      </w:r>
    </w:p>
    <w:p>
      <w:pPr>
        <w:adjustRightInd w:val="0"/>
        <w:snapToGrid w:val="0"/>
        <w:spacing w:line="360" w:lineRule="auto"/>
      </w:pPr>
      <w:r>
        <w:rPr>
          <w:rFonts w:hint="eastAsia"/>
          <w:sz w:val="24"/>
        </w:rPr>
        <w:t>库存投资资金成本</w:t>
      </w:r>
      <w:r>
        <w:rPr>
          <w:sz w:val="24"/>
        </w:rPr>
        <w:br w:type="textWrapping"/>
      </w:r>
      <w:r>
        <w:rPr>
          <w:rFonts w:hint="eastAsia"/>
          <w:sz w:val="24"/>
        </w:rPr>
        <w:t>　　库存投资的资金成本是指库存商品占用了可以用于其他投资的资金，这种资金不管是企业内部筹集还是从外部筹集，比如销售股票或从银行贷款等，对于企业而言，都因为保持库存而丧失了其他投资的机会，因此，应以使用资金的机会成本（</w:t>
      </w:r>
      <w:r>
        <w:rPr>
          <w:sz w:val="24"/>
        </w:rPr>
        <w:t>opportunity cost of capital</w:t>
      </w:r>
      <w:r>
        <w:rPr>
          <w:rFonts w:hint="eastAsia"/>
          <w:sz w:val="24"/>
        </w:rPr>
        <w:t>）来计算库存持有成本中的资金成本。事实上，资金成本往往占持有成本的大多数。</w:t>
      </w:r>
      <w:r>
        <w:rPr>
          <w:sz w:val="24"/>
        </w:rPr>
        <w:br w:type="textWrapping"/>
      </w:r>
      <w:r>
        <w:rPr>
          <w:rFonts w:hint="eastAsia"/>
          <w:sz w:val="24"/>
        </w:rPr>
        <w:t>　　库存服务成本</w:t>
      </w:r>
      <w:r>
        <w:rPr>
          <w:sz w:val="24"/>
        </w:rPr>
        <w:br w:type="textWrapping"/>
      </w:r>
      <w:r>
        <w:rPr>
          <w:rFonts w:hint="eastAsia"/>
          <w:sz w:val="24"/>
        </w:rPr>
        <w:t>　　库存服务成本由按价计的税金以及为维持库存而产生的火灾和盗窃保险组成。一般情况下，税金随库存水平的不同而不同。很多地区对那些随后向其他地区的客户发运的库存免除税收。因此公司在规划仓储网络的时候，通过合适的规划可以使这部分最小化。</w:t>
      </w:r>
      <w:r>
        <w:rPr>
          <w:sz w:val="24"/>
        </w:rPr>
        <w:br w:type="textWrapping"/>
      </w:r>
      <w:r>
        <w:rPr>
          <w:rFonts w:hint="eastAsia"/>
          <w:sz w:val="24"/>
        </w:rPr>
        <w:t>　　库存水平对保险费率没有什么影响，因为通常购买保险针对的是特定时间段的特定的产品价值，保险费率取决于仓储设施建造使用的材料、已使用的年限，以及所安装的防火设备的类型等。</w:t>
      </w:r>
      <w:r>
        <w:rPr>
          <w:sz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613A0"/>
    <w:rsid w:val="00081AEB"/>
    <w:rsid w:val="00092F69"/>
    <w:rsid w:val="000B6463"/>
    <w:rsid w:val="000B7D82"/>
    <w:rsid w:val="001044E1"/>
    <w:rsid w:val="00137333"/>
    <w:rsid w:val="0021058B"/>
    <w:rsid w:val="00216A1A"/>
    <w:rsid w:val="002E4EC9"/>
    <w:rsid w:val="002F3FCE"/>
    <w:rsid w:val="003B26DB"/>
    <w:rsid w:val="0040007E"/>
    <w:rsid w:val="00456491"/>
    <w:rsid w:val="004607C9"/>
    <w:rsid w:val="004E5BED"/>
    <w:rsid w:val="00616EA1"/>
    <w:rsid w:val="00665E54"/>
    <w:rsid w:val="00667876"/>
    <w:rsid w:val="006824AA"/>
    <w:rsid w:val="006C630D"/>
    <w:rsid w:val="006D3A21"/>
    <w:rsid w:val="006D4840"/>
    <w:rsid w:val="006E54CA"/>
    <w:rsid w:val="007B72B7"/>
    <w:rsid w:val="00831414"/>
    <w:rsid w:val="0091274A"/>
    <w:rsid w:val="00916CFB"/>
    <w:rsid w:val="009E3B09"/>
    <w:rsid w:val="00A269BB"/>
    <w:rsid w:val="00AC222B"/>
    <w:rsid w:val="00BB5C22"/>
    <w:rsid w:val="00BD7FC4"/>
    <w:rsid w:val="00BE5126"/>
    <w:rsid w:val="00BF22EE"/>
    <w:rsid w:val="00C11D7A"/>
    <w:rsid w:val="00C2541C"/>
    <w:rsid w:val="00C82C91"/>
    <w:rsid w:val="00D66D47"/>
    <w:rsid w:val="00E54BAB"/>
    <w:rsid w:val="00E56A28"/>
    <w:rsid w:val="00F03BCF"/>
    <w:rsid w:val="00F3161B"/>
    <w:rsid w:val="00F92B2B"/>
    <w:rsid w:val="00FD6D56"/>
    <w:rsid w:val="0D1B5C91"/>
    <w:rsid w:val="0E2E4BF9"/>
    <w:rsid w:val="16CA4603"/>
    <w:rsid w:val="4DB02334"/>
    <w:rsid w:val="54866462"/>
    <w:rsid w:val="54B2189B"/>
    <w:rsid w:val="55C3501C"/>
    <w:rsid w:val="5D774A84"/>
    <w:rsid w:val="5D8A50C6"/>
    <w:rsid w:val="6B0136F0"/>
    <w:rsid w:val="7518030A"/>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qFormat/>
    <w:uiPriority w:val="99"/>
    <w:pPr>
      <w:keepNext/>
      <w:jc w:val="center"/>
      <w:outlineLvl w:val="8"/>
    </w:pPr>
    <w:rPr>
      <w:rFonts w:ascii="Albertus" w:hAnsi="Albertus"/>
      <w:b/>
      <w:bCs/>
      <w:sz w:val="30"/>
      <w:szCs w:val="30"/>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qFormat/>
    <w:locked/>
    <w:uiPriority w:val="22"/>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300</Words>
  <Characters>1715</Characters>
  <Lines>14</Lines>
  <Paragraphs>4</Paragraphs>
  <TotalTime>0</TotalTime>
  <ScaleCrop>false</ScaleCrop>
  <LinksUpToDate>false</LinksUpToDate>
  <CharactersWithSpaces>2011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90CBAFE3B7E1449CB5C1CD95FCC66EAA_12</vt:lpwstr>
  </property>
</Properties>
</file>