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8"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单元标题：介绍物流成本核算的程序</w:t>
            </w:r>
            <w:r>
              <w:rPr>
                <w:rFonts w:ascii="仿宋" w:hAnsi="仿宋" w:eastAsia="仿宋" w:cs="仿宋"/>
                <w:b/>
                <w:sz w:val="28"/>
                <w:szCs w:val="28"/>
              </w:rPr>
              <w:t xml:space="preserve">  </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6</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能掌握物流成本的核算的程序对象和成本项目；</w:t>
            </w:r>
          </w:p>
          <w:p>
            <w:pPr>
              <w:spacing w:line="440" w:lineRule="exact"/>
              <w:jc w:val="left"/>
              <w:rPr>
                <w:rFonts w:ascii="仿宋" w:hAnsi="仿宋" w:eastAsia="仿宋"/>
                <w:b/>
                <w:sz w:val="24"/>
              </w:rPr>
            </w:pPr>
            <w:r>
              <w:rPr>
                <w:rFonts w:ascii="仿宋" w:hAnsi="仿宋" w:eastAsia="仿宋"/>
                <w:b/>
                <w:sz w:val="24"/>
              </w:rPr>
              <w:t>2.</w:t>
            </w:r>
            <w:r>
              <w:rPr>
                <w:rFonts w:hint="eastAsia" w:ascii="仿宋" w:hAnsi="仿宋" w:eastAsia="仿宋"/>
                <w:b/>
                <w:sz w:val="24"/>
              </w:rPr>
              <w:t>能确定物流成本的计算期，归集和分配物流成本</w:t>
            </w:r>
          </w:p>
        </w:tc>
        <w:tc>
          <w:tcPr>
            <w:tcW w:w="2525" w:type="dxa"/>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了解物流成本的核算对象；</w:t>
            </w:r>
          </w:p>
          <w:p>
            <w:pPr>
              <w:rPr>
                <w:rFonts w:ascii="仿宋" w:hAnsi="仿宋" w:eastAsia="仿宋"/>
                <w:b/>
                <w:sz w:val="24"/>
              </w:rPr>
            </w:pPr>
            <w:r>
              <w:rPr>
                <w:rFonts w:ascii="仿宋" w:hAnsi="仿宋" w:eastAsia="仿宋"/>
                <w:b/>
                <w:sz w:val="24"/>
              </w:rPr>
              <w:t>2.</w:t>
            </w:r>
            <w:r>
              <w:rPr>
                <w:rFonts w:hint="eastAsia" w:ascii="仿宋" w:hAnsi="仿宋" w:eastAsia="仿宋"/>
                <w:b/>
                <w:sz w:val="24"/>
              </w:rPr>
              <w:t>了解物流成本的成本项目；</w:t>
            </w:r>
          </w:p>
          <w:p>
            <w:pPr>
              <w:rPr>
                <w:rFonts w:ascii="仿宋" w:hAnsi="仿宋" w:eastAsia="仿宋"/>
                <w:b/>
                <w:sz w:val="24"/>
              </w:rPr>
            </w:pPr>
            <w:r>
              <w:rPr>
                <w:rFonts w:ascii="仿宋" w:hAnsi="仿宋" w:eastAsia="仿宋"/>
                <w:b/>
                <w:sz w:val="24"/>
              </w:rPr>
              <w:t>3.</w:t>
            </w:r>
            <w:r>
              <w:rPr>
                <w:rFonts w:hint="eastAsia" w:ascii="仿宋" w:hAnsi="仿宋" w:eastAsia="仿宋"/>
                <w:b/>
                <w:sz w:val="24"/>
              </w:rPr>
              <w:t>了解物流成本的计算期；</w:t>
            </w:r>
          </w:p>
          <w:p>
            <w:pPr>
              <w:rPr>
                <w:rFonts w:ascii="仿宋" w:hAnsi="仿宋" w:eastAsia="仿宋"/>
                <w:b/>
                <w:sz w:val="24"/>
              </w:rPr>
            </w:pPr>
            <w:r>
              <w:rPr>
                <w:rFonts w:ascii="仿宋" w:hAnsi="仿宋" w:eastAsia="仿宋"/>
                <w:b/>
                <w:sz w:val="24"/>
              </w:rPr>
              <w:t>4.</w:t>
            </w:r>
            <w:r>
              <w:rPr>
                <w:rFonts w:hint="eastAsia" w:ascii="仿宋" w:hAnsi="仿宋" w:eastAsia="仿宋"/>
                <w:b/>
                <w:sz w:val="24"/>
              </w:rPr>
              <w:t>了解物流成本的归集和分配</w:t>
            </w:r>
          </w:p>
          <w:p>
            <w:pPr>
              <w:spacing w:line="440" w:lineRule="exact"/>
              <w:rPr>
                <w:rFonts w:ascii="仿宋" w:hAnsi="仿宋" w:eastAsia="仿宋"/>
                <w:b/>
                <w:sz w:val="24"/>
              </w:rPr>
            </w:pP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宋体"/>
                <w:sz w:val="24"/>
              </w:rPr>
            </w:pPr>
          </w:p>
          <w:p>
            <w:pPr>
              <w:spacing w:line="440" w:lineRule="exact"/>
              <w:rPr>
                <w:rFonts w:ascii="宋体"/>
                <w:sz w:val="24"/>
              </w:rPr>
            </w:pPr>
          </w:p>
          <w:p>
            <w:pPr>
              <w:spacing w:line="440" w:lineRule="exact"/>
              <w:rPr>
                <w:rFonts w:ascii="仿宋" w:hAnsi="仿宋" w:eastAsia="仿宋"/>
                <w:b/>
                <w:sz w:val="28"/>
                <w:szCs w:val="28"/>
              </w:rPr>
            </w:pPr>
            <w:r>
              <w:rPr>
                <w:rFonts w:hint="eastAsia" w:ascii="仿宋" w:hAnsi="仿宋" w:eastAsia="仿宋"/>
                <w:b/>
                <w:sz w:val="28"/>
                <w:szCs w:val="28"/>
              </w:rPr>
              <w:t>情境设置：</w:t>
            </w:r>
          </w:p>
          <w:p>
            <w:pPr>
              <w:rPr>
                <w:rFonts w:ascii="仿宋" w:hAnsi="仿宋" w:eastAsia="仿宋"/>
                <w:b/>
                <w:sz w:val="24"/>
              </w:rPr>
            </w:pPr>
            <w:r>
              <w:rPr>
                <w:rFonts w:hint="eastAsia" w:ascii="仿宋" w:hAnsi="仿宋" w:eastAsia="仿宋"/>
                <w:b/>
                <w:sz w:val="24"/>
              </w:rPr>
              <w:t>甲公司物流成本核算的具体操作程序</w:t>
            </w:r>
          </w:p>
          <w:p>
            <w:pPr>
              <w:rPr>
                <w:rFonts w:ascii="仿宋" w:hAnsi="仿宋" w:eastAsia="仿宋"/>
                <w:b/>
                <w:sz w:val="24"/>
              </w:rPr>
            </w:pP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rPr>
                <w:rFonts w:ascii="仿宋" w:hAnsi="仿宋" w:eastAsia="仿宋"/>
                <w:b/>
                <w:sz w:val="24"/>
              </w:rPr>
            </w:pPr>
            <w:r>
              <w:rPr>
                <w:rFonts w:hint="eastAsia" w:ascii="仿宋" w:hAnsi="仿宋" w:eastAsia="仿宋"/>
                <w:b/>
                <w:sz w:val="24"/>
              </w:rPr>
              <w:t>分组归集和分配物流成本</w:t>
            </w:r>
          </w:p>
          <w:p>
            <w:pPr>
              <w:spacing w:line="440" w:lineRule="exact"/>
              <w:rPr>
                <w:rFonts w:ascii="仿宋" w:hAnsi="仿宋" w:eastAsia="仿宋" w:cs="仿宋"/>
                <w:sz w:val="24"/>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复习上节课内容，简单了解有关物流成本核算的程序</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物流成本计算的程序</w:t>
      </w:r>
    </w:p>
    <w:p>
      <w:pPr>
        <w:adjustRightInd w:val="0"/>
        <w:snapToGrid w:val="0"/>
        <w:spacing w:line="360" w:lineRule="auto"/>
        <w:ind w:firstLine="480" w:firstLineChars="200"/>
        <w:rPr>
          <w:sz w:val="24"/>
        </w:rPr>
      </w:pPr>
      <w:r>
        <w:rPr>
          <w:rFonts w:hint="eastAsia"/>
          <w:sz w:val="24"/>
        </w:rPr>
        <w:t>物流成本的计算步骤，从总体上来看，要遵循以下的步骤：明确物流范围</w:t>
      </w:r>
      <w:r>
        <w:rPr>
          <w:sz w:val="24"/>
        </w:rPr>
        <w:t>——</w:t>
      </w:r>
      <w:r>
        <w:rPr>
          <w:rFonts w:hint="eastAsia"/>
          <w:sz w:val="24"/>
        </w:rPr>
        <w:t>确定物流功能范围</w:t>
      </w:r>
      <w:r>
        <w:rPr>
          <w:sz w:val="24"/>
        </w:rPr>
        <w:t>——</w:t>
      </w:r>
      <w:r>
        <w:rPr>
          <w:rFonts w:hint="eastAsia"/>
          <w:sz w:val="24"/>
        </w:rPr>
        <w:t>审核原始记录</w:t>
      </w:r>
      <w:r>
        <w:rPr>
          <w:sz w:val="24"/>
        </w:rPr>
        <w:t>——</w:t>
      </w:r>
      <w:r>
        <w:rPr>
          <w:rFonts w:hint="eastAsia"/>
          <w:sz w:val="24"/>
        </w:rPr>
        <w:t>确定计算对象</w:t>
      </w:r>
      <w:r>
        <w:rPr>
          <w:sz w:val="24"/>
        </w:rPr>
        <w:t>——</w:t>
      </w:r>
      <w:r>
        <w:rPr>
          <w:rFonts w:hint="eastAsia"/>
          <w:sz w:val="24"/>
        </w:rPr>
        <w:t>确定成本项目</w:t>
      </w:r>
      <w:r>
        <w:rPr>
          <w:sz w:val="24"/>
        </w:rPr>
        <w:t>——</w:t>
      </w:r>
      <w:r>
        <w:rPr>
          <w:rFonts w:hint="eastAsia"/>
          <w:sz w:val="24"/>
        </w:rPr>
        <w:t>处理跨期费用的摊提工作</w:t>
      </w:r>
      <w:r>
        <w:rPr>
          <w:sz w:val="24"/>
        </w:rPr>
        <w:t>——</w:t>
      </w:r>
      <w:r>
        <w:rPr>
          <w:rFonts w:hint="eastAsia"/>
          <w:sz w:val="24"/>
        </w:rPr>
        <w:t>进行成本归集与分配</w:t>
      </w:r>
      <w:r>
        <w:rPr>
          <w:sz w:val="24"/>
        </w:rPr>
        <w:t>——</w:t>
      </w:r>
      <w:r>
        <w:rPr>
          <w:rFonts w:hint="eastAsia"/>
          <w:sz w:val="24"/>
        </w:rPr>
        <w:t>设置和等级成本明细账。</w:t>
      </w:r>
    </w:p>
    <w:p>
      <w:pPr>
        <w:adjustRightInd w:val="0"/>
        <w:snapToGrid w:val="0"/>
        <w:spacing w:line="360" w:lineRule="auto"/>
        <w:rPr>
          <w:sz w:val="24"/>
        </w:rPr>
      </w:pPr>
      <w:r>
        <w:rPr>
          <w:sz w:val="24"/>
        </w:rPr>
        <w:pict>
          <v:shape id="_x0000_i1025" o:spt="75" type="#_x0000_t75" style="height:267pt;width:430.5pt;" filled="f" o:preferrelative="t" stroked="f" coordsize="21600,21600">
            <v:path/>
            <v:fill on="f" focussize="0,0"/>
            <v:stroke on="f" joinstyle="miter"/>
            <v:imagedata r:id="rId6" o:title=""/>
            <o:lock v:ext="edit" aspectratio="t"/>
            <w10:wrap type="none"/>
            <w10:anchorlock/>
          </v:shape>
        </w:pict>
      </w:r>
    </w:p>
    <w:p>
      <w:pPr>
        <w:adjustRightInd w:val="0"/>
        <w:snapToGrid w:val="0"/>
        <w:spacing w:line="360" w:lineRule="auto"/>
        <w:ind w:firstLine="480" w:firstLineChars="200"/>
        <w:rPr>
          <w:sz w:val="24"/>
        </w:rPr>
      </w:pPr>
      <w:r>
        <w:rPr>
          <w:rFonts w:hint="eastAsia"/>
          <w:sz w:val="24"/>
        </w:rPr>
        <w:t>在计算物流成本时，必须把握一个基本原则，就是从</w:t>
      </w:r>
      <w:r>
        <w:rPr>
          <w:sz w:val="24"/>
        </w:rPr>
        <w:t>“</w:t>
      </w:r>
      <w:r>
        <w:rPr>
          <w:rFonts w:hint="eastAsia"/>
          <w:sz w:val="24"/>
        </w:rPr>
        <w:t>按支付形态不同分类</w:t>
      </w:r>
      <w:r>
        <w:rPr>
          <w:sz w:val="24"/>
        </w:rPr>
        <w:t>”</w:t>
      </w:r>
      <w:r>
        <w:rPr>
          <w:rFonts w:hint="eastAsia"/>
          <w:sz w:val="24"/>
        </w:rPr>
        <w:t>入手，来计算物流费用。按支付形态不同分类来计算物流成本，必须首先从企业财务会计核算的全部相关科目中抽出所包含的物流成本，然后以表格形式逐步计算物流成本。</w:t>
      </w:r>
    </w:p>
    <w:p>
      <w:pPr>
        <w:adjustRightInd w:val="0"/>
        <w:snapToGrid w:val="0"/>
        <w:spacing w:line="360" w:lineRule="auto"/>
        <w:ind w:firstLine="480" w:firstLineChars="200"/>
        <w:rPr>
          <w:sz w:val="24"/>
        </w:rPr>
      </w:pPr>
      <w:r>
        <w:rPr>
          <w:rFonts w:hint="eastAsia"/>
          <w:sz w:val="24"/>
        </w:rPr>
        <w:t>第一步：按支付形态不同分类的物流成本的抽出与计算。</w:t>
      </w:r>
    </w:p>
    <w:p>
      <w:pPr>
        <w:adjustRightInd w:val="0"/>
        <w:snapToGrid w:val="0"/>
        <w:spacing w:line="360" w:lineRule="auto"/>
        <w:ind w:firstLine="480" w:firstLineChars="200"/>
        <w:rPr>
          <w:sz w:val="24"/>
        </w:rPr>
      </w:pPr>
      <w:r>
        <w:rPr>
          <w:rFonts w:hint="eastAsia"/>
          <w:sz w:val="24"/>
        </w:rPr>
        <w:t>计算的物流成本费用项目包括材料费、人工费、公益费、维护费、一般经费、特别经费、委托物流费、其他企业支付的物流费等。</w:t>
      </w:r>
    </w:p>
    <w:p>
      <w:pPr>
        <w:adjustRightInd w:val="0"/>
        <w:snapToGrid w:val="0"/>
        <w:spacing w:line="360" w:lineRule="auto"/>
        <w:ind w:firstLine="480" w:firstLineChars="200"/>
        <w:rPr>
          <w:sz w:val="24"/>
        </w:rPr>
      </w:pPr>
      <w:r>
        <w:rPr>
          <w:rFonts w:hint="eastAsia"/>
          <w:sz w:val="24"/>
        </w:rPr>
        <w:t>第二步</w:t>
      </w:r>
      <w:r>
        <w:rPr>
          <w:sz w:val="24"/>
        </w:rPr>
        <w:t>:</w:t>
      </w:r>
      <w:r>
        <w:rPr>
          <w:rFonts w:hint="eastAsia"/>
          <w:sz w:val="24"/>
        </w:rPr>
        <w:t>根据计算物流成本的需要，将以上通过计算得出的数据资料填入</w:t>
      </w:r>
      <w:r>
        <w:fldChar w:fldCharType="begin"/>
      </w:r>
      <w:r>
        <w:instrText xml:space="preserve"> HYPERLINK "物流成本计算表.doc" </w:instrText>
      </w:r>
      <w:r>
        <w:fldChar w:fldCharType="separate"/>
      </w:r>
      <w:r>
        <w:rPr>
          <w:rFonts w:hint="eastAsia"/>
          <w:sz w:val="24"/>
        </w:rPr>
        <w:t>附表</w:t>
      </w:r>
      <w:r>
        <w:rPr>
          <w:sz w:val="24"/>
        </w:rPr>
        <w:t>1</w:t>
      </w:r>
      <w:r>
        <w:rPr>
          <w:sz w:val="24"/>
        </w:rPr>
        <w:fldChar w:fldCharType="end"/>
      </w:r>
      <w:r>
        <w:rPr>
          <w:rFonts w:hint="eastAsia"/>
          <w:sz w:val="24"/>
        </w:rPr>
        <w:t>中。</w:t>
      </w:r>
      <w:r>
        <w:rPr>
          <w:sz w:val="24"/>
        </w:rPr>
        <w:t xml:space="preserve">   </w:t>
      </w:r>
    </w:p>
    <w:p>
      <w:pPr>
        <w:adjustRightInd w:val="0"/>
        <w:snapToGrid w:val="0"/>
        <w:spacing w:line="360" w:lineRule="auto"/>
        <w:ind w:firstLine="480" w:firstLineChars="200"/>
        <w:rPr>
          <w:sz w:val="24"/>
        </w:rPr>
      </w:pPr>
      <w:r>
        <w:rPr>
          <w:rFonts w:hint="eastAsia"/>
          <w:sz w:val="24"/>
        </w:rPr>
        <w:t>第三步</w:t>
      </w:r>
      <w:r>
        <w:rPr>
          <w:sz w:val="24"/>
        </w:rPr>
        <w:t>:</w:t>
      </w:r>
      <w:r>
        <w:rPr>
          <w:rFonts w:hint="eastAsia"/>
          <w:sz w:val="24"/>
        </w:rPr>
        <w:t>把</w:t>
      </w:r>
      <w:r>
        <w:fldChar w:fldCharType="begin"/>
      </w:r>
      <w:r>
        <w:instrText xml:space="preserve"> HYPERLINK "物流成本计算表.doc" </w:instrText>
      </w:r>
      <w:r>
        <w:fldChar w:fldCharType="separate"/>
      </w:r>
      <w:r>
        <w:rPr>
          <w:rFonts w:hint="eastAsia"/>
          <w:sz w:val="24"/>
        </w:rPr>
        <w:t>附表</w:t>
      </w:r>
      <w:r>
        <w:rPr>
          <w:sz w:val="24"/>
        </w:rPr>
        <w:t>1</w:t>
      </w:r>
      <w:r>
        <w:rPr>
          <w:sz w:val="24"/>
        </w:rPr>
        <w:fldChar w:fldCharType="end"/>
      </w:r>
      <w:r>
        <w:rPr>
          <w:rFonts w:hint="eastAsia"/>
          <w:sz w:val="24"/>
        </w:rPr>
        <w:t>中的费用按物流功能分类，然后再汇总。方法是将运输费、保管费等每一种功能各制一张表</w:t>
      </w:r>
      <w:r>
        <w:rPr>
          <w:sz w:val="24"/>
        </w:rPr>
        <w:t>—</w:t>
      </w:r>
      <w:r>
        <w:rPr>
          <w:rFonts w:hint="eastAsia"/>
          <w:sz w:val="24"/>
        </w:rPr>
        <w:t>附表</w:t>
      </w:r>
      <w:r>
        <w:rPr>
          <w:sz w:val="24"/>
        </w:rPr>
        <w:t>2</w:t>
      </w:r>
      <w:r>
        <w:rPr>
          <w:rFonts w:hint="eastAsia"/>
          <w:sz w:val="24"/>
        </w:rPr>
        <w:t>，如果把所有的功能都作为计算对象，则要编制七张表。如果只计算其中某几项功能的费用，可根据实际需要填制。</w:t>
      </w:r>
    </w:p>
    <w:p>
      <w:pPr>
        <w:adjustRightInd w:val="0"/>
        <w:snapToGrid w:val="0"/>
        <w:spacing w:line="360" w:lineRule="auto"/>
        <w:rPr>
          <w:sz w:val="24"/>
        </w:rPr>
      </w:pPr>
      <w:r>
        <w:rPr>
          <w:sz w:val="24"/>
        </w:rPr>
        <w:pict>
          <v:shape id="_x0000_i1026" o:spt="75" type="#_x0000_t75" style="height:194pt;width:427.5pt;" filled="f" o:preferrelative="t" stroked="f" coordsize="21600,21600">
            <v:path/>
            <v:fill on="f" focussize="0,0"/>
            <v:stroke on="f" joinstyle="miter"/>
            <v:imagedata r:id="rId7" o:title=""/>
            <o:lock v:ext="edit" aspectratio="t"/>
            <w10:wrap type="none"/>
            <w10:anchorlock/>
          </v:shape>
        </w:pict>
      </w:r>
    </w:p>
    <w:p>
      <w:pPr>
        <w:adjustRightInd w:val="0"/>
        <w:snapToGrid w:val="0"/>
        <w:spacing w:line="360" w:lineRule="auto"/>
        <w:ind w:firstLine="480" w:firstLineChars="200"/>
        <w:rPr>
          <w:sz w:val="24"/>
        </w:rPr>
      </w:pPr>
      <w:r>
        <w:rPr>
          <w:rFonts w:hint="eastAsia"/>
          <w:sz w:val="24"/>
        </w:rPr>
        <w:t>第四步</w:t>
      </w:r>
      <w:r>
        <w:rPr>
          <w:sz w:val="24"/>
        </w:rPr>
        <w:t>:</w:t>
      </w:r>
      <w:r>
        <w:rPr>
          <w:rFonts w:hint="eastAsia"/>
          <w:sz w:val="24"/>
        </w:rPr>
        <w:t>把附表</w:t>
      </w:r>
      <w:r>
        <w:rPr>
          <w:sz w:val="24"/>
        </w:rPr>
        <w:t>1</w:t>
      </w:r>
      <w:r>
        <w:rPr>
          <w:rFonts w:hint="eastAsia"/>
          <w:sz w:val="24"/>
        </w:rPr>
        <w:t>右端合计栏中的数字转入附表</w:t>
      </w:r>
      <w:r>
        <w:rPr>
          <w:sz w:val="24"/>
        </w:rPr>
        <w:t>3</w:t>
      </w:r>
      <w:r>
        <w:rPr>
          <w:rFonts w:hint="eastAsia"/>
          <w:sz w:val="24"/>
        </w:rPr>
        <w:t>，了解按物流功能、支付形态分类的物流成本的支出情况。从物流成本计算附表</w:t>
      </w:r>
      <w:r>
        <w:rPr>
          <w:sz w:val="24"/>
        </w:rPr>
        <w:t>3</w:t>
      </w:r>
      <w:r>
        <w:rPr>
          <w:rFonts w:hint="eastAsia"/>
          <w:sz w:val="24"/>
        </w:rPr>
        <w:t>中的数字，可以简单地看出哪种物流功能的成本最大，都使用在哪种物流活动中。</w:t>
      </w:r>
    </w:p>
    <w:p>
      <w:pPr>
        <w:adjustRightInd w:val="0"/>
        <w:snapToGrid w:val="0"/>
        <w:spacing w:line="360" w:lineRule="auto"/>
        <w:rPr>
          <w:sz w:val="24"/>
        </w:rPr>
      </w:pPr>
      <w:r>
        <w:rPr>
          <w:sz w:val="24"/>
        </w:rPr>
        <w:pict>
          <v:shape id="_x0000_i1027" o:spt="75" type="#_x0000_t75" style="height:274pt;width:429.5pt;" filled="f" o:preferrelative="t" stroked="f" coordsize="21600,21600">
            <v:path/>
            <v:fill on="f" focussize="0,0"/>
            <v:stroke on="f" joinstyle="miter"/>
            <v:imagedata r:id="rId8" o:title=""/>
            <o:lock v:ext="edit" aspectratio="t"/>
            <w10:wrap type="none"/>
            <w10:anchorlock/>
          </v:shape>
        </w:pict>
      </w:r>
    </w:p>
    <w:p>
      <w:pPr>
        <w:adjustRightInd w:val="0"/>
        <w:snapToGrid w:val="0"/>
        <w:spacing w:line="360" w:lineRule="auto"/>
        <w:ind w:firstLine="480" w:firstLineChars="200"/>
        <w:rPr>
          <w:sz w:val="24"/>
        </w:rPr>
      </w:pPr>
      <w:r>
        <w:rPr>
          <w:rFonts w:hint="eastAsia"/>
          <w:sz w:val="24"/>
        </w:rPr>
        <w:t>第五步</w:t>
      </w:r>
      <w:r>
        <w:rPr>
          <w:sz w:val="24"/>
        </w:rPr>
        <w:t>:</w:t>
      </w:r>
      <w:r>
        <w:rPr>
          <w:rFonts w:hint="eastAsia"/>
          <w:sz w:val="24"/>
        </w:rPr>
        <w:t>把附表</w:t>
      </w:r>
      <w:r>
        <w:rPr>
          <w:sz w:val="24"/>
        </w:rPr>
        <w:t>1</w:t>
      </w:r>
      <w:r>
        <w:rPr>
          <w:rFonts w:hint="eastAsia"/>
          <w:sz w:val="24"/>
        </w:rPr>
        <w:t>最下端的数字转入附表</w:t>
      </w:r>
      <w:r>
        <w:rPr>
          <w:sz w:val="24"/>
        </w:rPr>
        <w:t>3</w:t>
      </w:r>
      <w:r>
        <w:rPr>
          <w:rFonts w:hint="eastAsia"/>
          <w:sz w:val="24"/>
        </w:rPr>
        <w:t>，求出按范围、功能分类的物流成本，了解哪个范围、哪种功能的物流成本高，还能算出销售额与物流成本的比例以及根据销售数量算出的单位物流成本。</w:t>
      </w:r>
    </w:p>
    <w:p>
      <w:pPr>
        <w:adjustRightInd w:val="0"/>
        <w:snapToGrid w:val="0"/>
        <w:spacing w:line="360" w:lineRule="auto"/>
        <w:rPr>
          <w:sz w:val="24"/>
        </w:rPr>
      </w:pPr>
      <w:r>
        <w:rPr>
          <w:rFonts w:hint="eastAsia"/>
          <w:sz w:val="24"/>
        </w:rPr>
        <w:t>二、成本归集与分配</w:t>
      </w:r>
    </w:p>
    <w:p>
      <w:pPr>
        <w:adjustRightInd w:val="0"/>
        <w:snapToGrid w:val="0"/>
        <w:spacing w:line="360" w:lineRule="auto"/>
        <w:ind w:firstLine="480" w:firstLineChars="200"/>
        <w:rPr>
          <w:sz w:val="24"/>
        </w:rPr>
      </w:pPr>
      <w:r>
        <w:rPr>
          <w:rFonts w:hint="eastAsia"/>
          <w:sz w:val="24"/>
        </w:rPr>
        <w:t>从一定意义上讲，物流成本计算，就是成本归集和成本分配两大工作。首先是成本归集，然后是成本分配。两者密切联系、交错进行。</w:t>
      </w:r>
    </w:p>
    <w:p>
      <w:pPr>
        <w:adjustRightInd w:val="0"/>
        <w:snapToGrid w:val="0"/>
        <w:spacing w:line="360" w:lineRule="auto"/>
        <w:rPr>
          <w:sz w:val="24"/>
        </w:rPr>
      </w:pPr>
      <w:r>
        <w:rPr>
          <w:rFonts w:hint="eastAsia"/>
          <w:sz w:val="24"/>
        </w:rPr>
        <w:t>（</w:t>
      </w:r>
      <w:r>
        <w:rPr>
          <w:sz w:val="24"/>
        </w:rPr>
        <w:t>1</w:t>
      </w:r>
      <w:r>
        <w:rPr>
          <w:rFonts w:hint="eastAsia"/>
          <w:sz w:val="24"/>
        </w:rPr>
        <w:t>）物流成本归集</w:t>
      </w:r>
    </w:p>
    <w:p>
      <w:pPr>
        <w:adjustRightInd w:val="0"/>
        <w:snapToGrid w:val="0"/>
        <w:spacing w:line="360" w:lineRule="auto"/>
        <w:ind w:firstLine="480" w:firstLineChars="200"/>
        <w:rPr>
          <w:sz w:val="24"/>
        </w:rPr>
      </w:pPr>
      <w:r>
        <w:rPr>
          <w:rFonts w:hint="eastAsia"/>
          <w:sz w:val="24"/>
        </w:rPr>
        <w:t>是指对企业生产经营过程中所发生的各种物流费用，按一定的对象，如各种产品、作业、各个车间或部门所进行的成本数据的收集或汇总。</w:t>
      </w:r>
    </w:p>
    <w:p>
      <w:pPr>
        <w:adjustRightInd w:val="0"/>
        <w:snapToGrid w:val="0"/>
        <w:spacing w:line="360" w:lineRule="auto"/>
        <w:rPr>
          <w:sz w:val="24"/>
        </w:rPr>
      </w:pPr>
      <w:r>
        <w:rPr>
          <w:rFonts w:hint="eastAsia"/>
          <w:sz w:val="24"/>
        </w:rPr>
        <w:t>（</w:t>
      </w:r>
      <w:r>
        <w:rPr>
          <w:sz w:val="24"/>
        </w:rPr>
        <w:t>2</w:t>
      </w:r>
      <w:r>
        <w:rPr>
          <w:rFonts w:hint="eastAsia"/>
          <w:sz w:val="24"/>
        </w:rPr>
        <w:t>）物流成本分配</w:t>
      </w:r>
    </w:p>
    <w:p>
      <w:pPr>
        <w:adjustRightInd w:val="0"/>
        <w:snapToGrid w:val="0"/>
        <w:spacing w:line="360" w:lineRule="auto"/>
        <w:ind w:firstLine="480" w:firstLineChars="200"/>
        <w:rPr>
          <w:sz w:val="24"/>
        </w:rPr>
      </w:pPr>
      <w:r>
        <w:rPr>
          <w:rFonts w:hint="eastAsia"/>
          <w:sz w:val="24"/>
        </w:rPr>
        <w:t>在有多个物流成本计算对象的情况下，为求得各成本计算对象的成本，对不能直接计算入成本计算对象的费用，在按照费用发生的地点和用途归集后，按一定分配标准进行分配。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92F69"/>
    <w:rsid w:val="000B7D82"/>
    <w:rsid w:val="001044E1"/>
    <w:rsid w:val="00137333"/>
    <w:rsid w:val="001C544D"/>
    <w:rsid w:val="0021058B"/>
    <w:rsid w:val="002E4EC9"/>
    <w:rsid w:val="002F3FCE"/>
    <w:rsid w:val="003B26DB"/>
    <w:rsid w:val="0040007E"/>
    <w:rsid w:val="004607C9"/>
    <w:rsid w:val="004E5BED"/>
    <w:rsid w:val="00616EA1"/>
    <w:rsid w:val="00644551"/>
    <w:rsid w:val="00667876"/>
    <w:rsid w:val="006D3A21"/>
    <w:rsid w:val="006D4840"/>
    <w:rsid w:val="006E54CA"/>
    <w:rsid w:val="00711D61"/>
    <w:rsid w:val="0074019F"/>
    <w:rsid w:val="00782444"/>
    <w:rsid w:val="008977FF"/>
    <w:rsid w:val="0091274A"/>
    <w:rsid w:val="00916CFB"/>
    <w:rsid w:val="009E3B09"/>
    <w:rsid w:val="00BB5C22"/>
    <w:rsid w:val="00BE5126"/>
    <w:rsid w:val="00BF22EE"/>
    <w:rsid w:val="00C82C91"/>
    <w:rsid w:val="00E17848"/>
    <w:rsid w:val="00E54BAB"/>
    <w:rsid w:val="00E56A28"/>
    <w:rsid w:val="00F03BCF"/>
    <w:rsid w:val="00F3161B"/>
    <w:rsid w:val="00FD6D56"/>
    <w:rsid w:val="0E2E4BF9"/>
    <w:rsid w:val="16CA4603"/>
    <w:rsid w:val="36113E45"/>
    <w:rsid w:val="3D2E7CA7"/>
    <w:rsid w:val="4DB02334"/>
    <w:rsid w:val="54866462"/>
    <w:rsid w:val="55C3501C"/>
    <w:rsid w:val="58200C25"/>
    <w:rsid w:val="5D774A84"/>
    <w:rsid w:val="5D8A50C6"/>
    <w:rsid w:val="6B0136F0"/>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qFormat/>
    <w:uiPriority w:val="99"/>
    <w:pPr>
      <w:keepNext/>
      <w:jc w:val="center"/>
      <w:outlineLvl w:val="8"/>
    </w:pPr>
    <w:rPr>
      <w:rFonts w:ascii="Albertus" w:hAnsi="Albertus"/>
      <w:b/>
      <w:bCs/>
      <w:sz w:val="30"/>
      <w:szCs w:val="30"/>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locked/>
    <w:uiPriority w:val="22"/>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389</Words>
  <Characters>2221</Characters>
  <Lines>18</Lines>
  <Paragraphs>5</Paragraphs>
  <TotalTime>0</TotalTime>
  <ScaleCrop>false</ScaleCrop>
  <LinksUpToDate>false</LinksUpToDate>
  <CharactersWithSpaces>2605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2024-05-13T03:17:34Z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8CF019127469401D886FE5D64B31EED5_12</vt:lpwstr>
  </property>
</Properties>
</file>