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6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8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6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pict>
          <v:shape id="图片 4" o:spid="_x0000_s1027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bookmarkStart w:id="0" w:name="_GoBack"/>
      <w:bookmarkEnd w:id="0"/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单元标题：介绍物流成本的涵义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能够掌握物流成本的概念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能够掌握物流成本的特征</w:t>
            </w:r>
          </w:p>
        </w:tc>
        <w:tc>
          <w:tcPr>
            <w:tcW w:w="252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了解物流的产生与发展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了解物流管理及其相关概念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甲公司的背景及业务介绍，展示相关生产数据和成本信息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分组完成物流成本管理相关信息查询的任务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掌握熟悉课本目录，简单了解有关物流成本管理的知识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物流成本管理的产生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物流管理是在第二次世界大战期间提出的，是从美国军队当时解决一些后勤问题开始的。但是在军事上，首先注重的是军用物资供应的可达性和及时性，成本的考虑是放在第二位的。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随着生产技术的发展，产品成本的下降，产品数量大量增加，流通成本问题开始逐渐浮现，分销领域物流成本控制的问题就产生了。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物流成本管理的发展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欧美国家物流成本管理的发展情况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日本物流成本管理的发展情况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物流成本管理在中国的发展情况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物流成本管理的研究内容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物流成本分析模块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物流成本决策模块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物流成本控制模块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物流成本管理研究的相关学科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预测、决策学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数学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行为科学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经济学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其他科学</w:t>
      </w:r>
      <w:r>
        <w:rPr>
          <w:sz w:val="24"/>
        </w:rPr>
        <w:t>——</w:t>
      </w:r>
      <w:r>
        <w:rPr>
          <w:rFonts w:hint="eastAsia"/>
          <w:sz w:val="24"/>
        </w:rPr>
        <w:t>系统论、信息论、控制论、运筹学、博弈论、协同学等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1044E1"/>
    <w:rsid w:val="00137333"/>
    <w:rsid w:val="0021058B"/>
    <w:rsid w:val="002E4EC9"/>
    <w:rsid w:val="002F3FCE"/>
    <w:rsid w:val="003B26DB"/>
    <w:rsid w:val="0040007E"/>
    <w:rsid w:val="004607C9"/>
    <w:rsid w:val="004E5BED"/>
    <w:rsid w:val="005F766F"/>
    <w:rsid w:val="00616EA1"/>
    <w:rsid w:val="00667876"/>
    <w:rsid w:val="006D3A21"/>
    <w:rsid w:val="006D4840"/>
    <w:rsid w:val="006E54CA"/>
    <w:rsid w:val="0091274A"/>
    <w:rsid w:val="00916CFB"/>
    <w:rsid w:val="009E3B09"/>
    <w:rsid w:val="00BB5C22"/>
    <w:rsid w:val="00BE5126"/>
    <w:rsid w:val="00BF22EE"/>
    <w:rsid w:val="00C82C91"/>
    <w:rsid w:val="00CD1902"/>
    <w:rsid w:val="00E54BAB"/>
    <w:rsid w:val="00E56A28"/>
    <w:rsid w:val="00F03BCF"/>
    <w:rsid w:val="00F3161B"/>
    <w:rsid w:val="00FD6D56"/>
    <w:rsid w:val="04AD16C2"/>
    <w:rsid w:val="0E2E4BF9"/>
    <w:rsid w:val="11F5507D"/>
    <w:rsid w:val="16CA4603"/>
    <w:rsid w:val="200908E7"/>
    <w:rsid w:val="4DB02334"/>
    <w:rsid w:val="54866462"/>
    <w:rsid w:val="55C3501C"/>
    <w:rsid w:val="5D774A84"/>
    <w:rsid w:val="5D8A50C6"/>
    <w:rsid w:val="68376A9E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locked/>
    <w:uiPriority w:val="0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1663</Characters>
  <Lines>13</Lines>
  <Paragraphs>3</Paragraphs>
  <TotalTime>1</TotalTime>
  <ScaleCrop>false</ScaleCrop>
  <LinksUpToDate>false</LinksUpToDate>
  <CharactersWithSpaces>1951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2024-05-13T03:16:07Z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BD3E1EA3439144FFB3FF33AD618AA7E8_12</vt:lpwstr>
  </property>
</Properties>
</file>