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pacing w:val="-59"/>
          <w:sz w:val="52"/>
          <w:szCs w:val="52"/>
          <w:lang w:val="en-US" w:eastAsia="zh-CN"/>
        </w:rPr>
        <w:t xml:space="preserve">2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能够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进行数字化转型战略规划。2.能够建立企业数字化转模型。</w:t>
            </w:r>
          </w:p>
        </w:tc>
        <w:tc>
          <w:tcPr>
            <w:tcW w:w="2645" w:type="dxa"/>
            <w:vAlign w:val="top"/>
          </w:tcPr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1.理解数字化转型的相关概念。2.理解数字化转型面临的机遇和挑战。3.掌握企业数字化转型的模式。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培养问题解决和决策能力，能够在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企业数字化转型战略规划中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中识别和解决问题，并做出合理的决策。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培养产业升级意识：通过数字化技术和创新运营模式，助力传统产业的转型升级，以实现民族复兴。</w:t>
            </w:r>
          </w:p>
          <w:p>
            <w:pPr>
              <w:spacing w:before="15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应先了解本公司的数字化管理工作现状。企业高层决定实施企业数字化转型，召集领导层开会讨论数字化转型战略。以帮助企业更好地应对不确定性，把握机遇，规避风险。讨论数字化转型战略并形成报告。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vAlign w:val="top"/>
          </w:tcPr>
          <w:p>
            <w:pPr>
              <w:spacing w:line="228" w:lineRule="auto"/>
              <w:ind w:left="129"/>
              <w:jc w:val="both"/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  <w:t>制造业数字化转型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教师提出问题</w:t>
            </w: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讨论制造业都有哪些信息系统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制造业数字化转型规划</w:t>
            </w:r>
          </w:p>
        </w:tc>
        <w:tc>
          <w:tcPr>
            <w:tcW w:w="26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制造业转型规划四部曲</w:t>
            </w:r>
          </w:p>
        </w:tc>
        <w:tc>
          <w:tcPr>
            <w:tcW w:w="2683" w:type="dxa"/>
            <w:vAlign w:val="top"/>
          </w:tcPr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学生讨论转型规划的步骤？</w:t>
            </w: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z w:val="20"/>
                <w:szCs w:val="20"/>
                <w:lang w:val="en-US" w:eastAsia="zh-CN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27" w:right="105" w:hanging="1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制造企业数字化转型模式</w:t>
            </w:r>
          </w:p>
        </w:tc>
        <w:tc>
          <w:tcPr>
            <w:tcW w:w="2683" w:type="dxa"/>
            <w:vAlign w:val="top"/>
          </w:tcPr>
          <w:p>
            <w:pPr>
              <w:spacing w:before="109" w:line="311" w:lineRule="auto"/>
              <w:ind w:left="113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学生讨论转型模式？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default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pacing w:val="2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  <w:lang w:val="en-US" w:eastAsia="zh-CN"/>
              </w:rPr>
              <w:t>企业数字化转型战略举措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1.建立成为数字化原生企业的愿景？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分小组讨论，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数字化转型战略规划？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135" w:line="228" w:lineRule="auto"/>
              <w:ind w:left="114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用最新ICT探索改变企业传统的商业模式？</w:t>
            </w:r>
          </w:p>
        </w:tc>
        <w:tc>
          <w:tcPr>
            <w:tcW w:w="2683" w:type="dxa"/>
            <w:tcBorders>
              <w:top w:val="single" w:color="auto" w:sz="4" w:space="0"/>
            </w:tcBorders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3.评估数字化转型的成熟度和绩效，4.选择所属行业数字化转型的应用场景5.建立支持数字化转型的架构6选择合适的技术平台和合作伙伴</w:t>
            </w: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这节课我们首先了解了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数字化转型的战略举措，建立数字化企业的愿景，改变传统的商业模式，评估数字化转型的成熟度，选择所属行业数字化壮行的应用场景。建立支持数字化转型的组织结构。希望大家可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以通过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对数字经济的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要求明确自己努力的方向，主动的培养自己的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素养，向一名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数字经济人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的目标奋斗。本节课案例纳入学生的案例库做分享交流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E8E0C5"/>
    <w:multiLevelType w:val="singleLevel"/>
    <w:tmpl w:val="20E8E0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15D9280F"/>
    <w:rsid w:val="166D0CAC"/>
    <w:rsid w:val="23EB7FF4"/>
    <w:rsid w:val="243C25FD"/>
    <w:rsid w:val="257B188C"/>
    <w:rsid w:val="2ACA2409"/>
    <w:rsid w:val="2C004B61"/>
    <w:rsid w:val="2D3465E1"/>
    <w:rsid w:val="51035310"/>
    <w:rsid w:val="59B56733"/>
    <w:rsid w:val="613525ED"/>
    <w:rsid w:val="647E0D15"/>
    <w:rsid w:val="64B44471"/>
    <w:rsid w:val="656668F6"/>
    <w:rsid w:val="6B9F6E34"/>
    <w:rsid w:val="6F486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