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836802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722927" w:rsidRDefault="00722927" w:rsidP="00FA7433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元    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>任务1.</w:t>
            </w:r>
            <w:r w:rsidR="00F41247">
              <w:rPr>
                <w:rFonts w:ascii="楷体_GB2312" w:eastAsia="楷体_GB2312" w:hAnsi="宋体" w:hint="eastAsia"/>
                <w:szCs w:val="21"/>
              </w:rPr>
              <w:t>4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F41247">
              <w:rPr>
                <w:rFonts w:ascii="楷体_GB2312" w:eastAsia="楷体_GB2312" w:hAnsi="宋体" w:hint="eastAsia"/>
                <w:szCs w:val="21"/>
              </w:rPr>
              <w:t>提炼视觉创意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题： 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F41247">
              <w:rPr>
                <w:rFonts w:ascii="楷体_GB2312" w:eastAsia="楷体_GB2312" w:hAnsi="宋体" w:hint="eastAsia"/>
                <w:szCs w:val="21"/>
              </w:rPr>
              <w:t>4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86296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966906">
              <w:rPr>
                <w:rFonts w:ascii="楷体_GB2312" w:eastAsia="楷体_GB2312" w:hAnsi="宋体" w:hint="eastAsia"/>
                <w:szCs w:val="21"/>
              </w:rPr>
              <w:t>确定</w:t>
            </w:r>
            <w:r w:rsidR="006317AF" w:rsidRPr="006317AF">
              <w:rPr>
                <w:rFonts w:ascii="楷体_GB2312" w:eastAsia="楷体_GB2312" w:hAnsi="宋体" w:hint="eastAsia"/>
                <w:szCs w:val="21"/>
              </w:rPr>
              <w:t>店铺文字的调整和搭配方法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C14487" w:rsidRPr="006317AF" w:rsidRDefault="0086296E" w:rsidP="0096690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86296E">
              <w:rPr>
                <w:rFonts w:ascii="楷体_GB2312" w:eastAsia="楷体_GB2312" w:hAnsi="宋体" w:hint="eastAsia"/>
                <w:szCs w:val="21"/>
              </w:rPr>
              <w:t>1.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C14487" w:rsidRPr="006317AF">
              <w:rPr>
                <w:rFonts w:ascii="楷体_GB2312" w:eastAsia="楷体_GB2312" w:hAnsi="宋体" w:hint="eastAsia"/>
                <w:szCs w:val="21"/>
              </w:rPr>
              <w:t>掌握色彩三属性。</w:t>
            </w:r>
          </w:p>
          <w:p w:rsidR="004267E5" w:rsidRPr="0070063A" w:rsidRDefault="00C14487" w:rsidP="0096690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6317AF">
              <w:rPr>
                <w:rFonts w:ascii="楷体_GB2312" w:eastAsia="楷体_GB2312" w:hAnsi="宋体" w:hint="eastAsia"/>
                <w:szCs w:val="21"/>
              </w:rPr>
              <w:t>2．掌握视觉设计的色彩、文字、构图方式。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1568C2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bookmarkStart w:id="0" w:name="_GoBack"/>
            <w:bookmarkEnd w:id="0"/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A03DBD" w:rsidRDefault="00A03DBD" w:rsidP="004267E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A03DBD">
              <w:rPr>
                <w:rFonts w:ascii="楷体_GB2312" w:eastAsia="楷体_GB2312" w:hAnsi="宋体" w:hint="eastAsia"/>
                <w:szCs w:val="21"/>
              </w:rPr>
              <w:t>假设某店铺要推出新的商品，此时需要对商品进行视觉营销，体现商品卖点。讨论该企业可以通过哪些方式来进行视觉营销，如何制定营销方案？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1568C2" w:rsidRDefault="001568C2" w:rsidP="001568C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1568C2" w:rsidRDefault="001568C2" w:rsidP="001568C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1568C2" w:rsidP="001568C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3818DC" w:rsidRPr="003818DC">
              <w:rPr>
                <w:rFonts w:ascii="楷体_GB2312" w:eastAsia="楷体_GB2312" w:hAnsi="宋体" w:hint="eastAsia"/>
                <w:szCs w:val="21"/>
              </w:rPr>
              <w:t>把握视觉营销的信息传递和定位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085958" w:rsidRPr="00085958" w:rsidRDefault="00085958" w:rsidP="00085958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085958">
              <w:rPr>
                <w:rFonts w:ascii="楷体_GB2312" w:eastAsia="楷体_GB2312" w:hint="eastAsia"/>
                <w:szCs w:val="21"/>
              </w:rPr>
              <w:t>视觉营销的设计元素有哪些？</w:t>
            </w:r>
          </w:p>
          <w:p w:rsidR="003818DC" w:rsidRPr="00085958" w:rsidRDefault="00085958" w:rsidP="00085958">
            <w:pPr>
              <w:spacing w:line="320" w:lineRule="exact"/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085958">
              <w:rPr>
                <w:rFonts w:ascii="楷体_GB2312" w:eastAsia="楷体_GB2312" w:hint="eastAsia"/>
                <w:szCs w:val="21"/>
              </w:rPr>
              <w:t>怎么根据不同风格选择不同文字？</w:t>
            </w:r>
          </w:p>
        </w:tc>
        <w:tc>
          <w:tcPr>
            <w:tcW w:w="2771" w:type="dxa"/>
            <w:vAlign w:val="center"/>
          </w:tcPr>
          <w:p w:rsidR="003818DC" w:rsidRPr="00B742A3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导入：</w:t>
            </w:r>
            <w:r w:rsidR="00085958" w:rsidRPr="00085958">
              <w:rPr>
                <w:rFonts w:ascii="楷体_GB2312" w:eastAsia="楷体_GB2312" w:hint="eastAsia"/>
                <w:szCs w:val="21"/>
              </w:rPr>
              <w:t>怎样提炼商品视觉创意？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085958">
              <w:rPr>
                <w:rFonts w:ascii="楷体_GB2312" w:eastAsia="楷体_GB2312" w:hAnsi="宋体" w:hint="eastAsia"/>
              </w:rPr>
              <w:t>商品视觉创意如何提炼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594ED8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操作演示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F41247">
              <w:rPr>
                <w:rFonts w:ascii="楷体_GB2312" w:eastAsia="楷体_GB2312" w:hAnsi="宋体" w:hint="eastAsia"/>
              </w:rPr>
              <w:t>四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085958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商品视觉创意</w:t>
            </w:r>
          </w:p>
        </w:tc>
        <w:tc>
          <w:tcPr>
            <w:tcW w:w="2474" w:type="dxa"/>
            <w:vAlign w:val="center"/>
          </w:tcPr>
          <w:p w:rsidR="00722927" w:rsidRDefault="00085958" w:rsidP="0008595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演示模特展示效果；</w:t>
            </w:r>
          </w:p>
        </w:tc>
        <w:tc>
          <w:tcPr>
            <w:tcW w:w="2771" w:type="dxa"/>
            <w:vAlign w:val="center"/>
          </w:tcPr>
          <w:p w:rsidR="00594ED8" w:rsidRPr="00B742A3" w:rsidRDefault="00722927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在不同平台中搜集</w:t>
            </w:r>
            <w:r w:rsidR="00B91DB3">
              <w:rPr>
                <w:rFonts w:ascii="楷体_GB2312" w:eastAsia="楷体_GB2312" w:hAnsi="宋体" w:hint="eastAsia"/>
              </w:rPr>
              <w:t>不同店铺</w:t>
            </w:r>
            <w:r w:rsidR="00085958">
              <w:rPr>
                <w:rFonts w:ascii="楷体_GB2312" w:eastAsia="楷体_GB2312" w:hAnsi="宋体" w:hint="eastAsia"/>
              </w:rPr>
              <w:t>模特展示</w:t>
            </w:r>
            <w:r>
              <w:rPr>
                <w:rFonts w:ascii="楷体_GB2312" w:eastAsia="楷体_GB2312" w:hAnsi="宋体" w:hint="eastAsia"/>
              </w:rPr>
              <w:t>案例，并对比。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F41247">
              <w:rPr>
                <w:rFonts w:ascii="楷体_GB2312" w:eastAsia="楷体_GB2312" w:hAnsi="宋体" w:hint="eastAsia"/>
              </w:rPr>
              <w:t>四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085958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商品活动创意</w:t>
            </w:r>
          </w:p>
        </w:tc>
        <w:tc>
          <w:tcPr>
            <w:tcW w:w="2474" w:type="dxa"/>
            <w:vAlign w:val="center"/>
          </w:tcPr>
          <w:p w:rsidR="001433EF" w:rsidRDefault="00085958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活动方案策划步骤方法</w:t>
            </w:r>
            <w:r w:rsidR="001433EF"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722927" w:rsidRDefault="00085958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策划6.18活动</w:t>
            </w:r>
            <w:r w:rsidR="001433EF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F41247">
              <w:rPr>
                <w:rFonts w:ascii="楷体_GB2312" w:eastAsia="楷体_GB2312" w:hAnsi="宋体" w:hint="eastAsia"/>
              </w:rPr>
              <w:t>四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1433EF" w:rsidRDefault="00085958" w:rsidP="0083680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085958">
              <w:rPr>
                <w:rFonts w:ascii="楷体_GB2312" w:eastAsia="楷体_GB2312" w:hint="eastAsia"/>
                <w:szCs w:val="21"/>
              </w:rPr>
              <w:t>从商品视觉创意的角度说明如何制作推广图</w:t>
            </w:r>
            <w:r>
              <w:rPr>
                <w:rFonts w:ascii="楷体_GB2312" w:eastAsia="楷体_GB2312" w:hint="eastAsia"/>
                <w:szCs w:val="21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313587" w:rsidRDefault="00085958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085958">
              <w:rPr>
                <w:rFonts w:ascii="楷体_GB2312" w:eastAsia="楷体_GB2312" w:hint="eastAsia"/>
                <w:szCs w:val="21"/>
              </w:rPr>
              <w:t>活动的视觉创意方法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A03DBD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A03DBD">
              <w:rPr>
                <w:rFonts w:ascii="楷体_GB2312" w:eastAsia="楷体_GB2312" w:hAnsi="宋体" w:hint="eastAsia"/>
              </w:rPr>
              <w:t>浏览一张促销海报，查看海报中怎么让活动的卖点得到体现，其创意部分主要表现在哪些方面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A03DBD" w:rsidRDefault="00A03DBD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A03DBD">
              <w:rPr>
                <w:rFonts w:ascii="楷体_GB2312" w:eastAsia="楷体_GB2312" w:hAnsi="宋体" w:hint="eastAsia"/>
              </w:rPr>
              <w:t>在生活中查看不同商品是怎么体现视觉创意的，并总结区别和联系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BE" w:rsidRDefault="002C6BBE" w:rsidP="00722927">
      <w:r>
        <w:separator/>
      </w:r>
    </w:p>
  </w:endnote>
  <w:endnote w:type="continuationSeparator" w:id="0">
    <w:p w:rsidR="002C6BBE" w:rsidRDefault="002C6BBE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BE" w:rsidRDefault="002C6BBE" w:rsidP="00722927">
      <w:r>
        <w:separator/>
      </w:r>
    </w:p>
  </w:footnote>
  <w:footnote w:type="continuationSeparator" w:id="0">
    <w:p w:rsidR="002C6BBE" w:rsidRDefault="002C6BBE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85958"/>
    <w:rsid w:val="000F7D33"/>
    <w:rsid w:val="001433EF"/>
    <w:rsid w:val="001568C2"/>
    <w:rsid w:val="001F4568"/>
    <w:rsid w:val="0023648E"/>
    <w:rsid w:val="00270891"/>
    <w:rsid w:val="002C6BBE"/>
    <w:rsid w:val="00313587"/>
    <w:rsid w:val="0036219B"/>
    <w:rsid w:val="00380678"/>
    <w:rsid w:val="003818DC"/>
    <w:rsid w:val="003C0352"/>
    <w:rsid w:val="004267E5"/>
    <w:rsid w:val="00594ED8"/>
    <w:rsid w:val="00621881"/>
    <w:rsid w:val="006317AF"/>
    <w:rsid w:val="006B4A16"/>
    <w:rsid w:val="0070063A"/>
    <w:rsid w:val="00722927"/>
    <w:rsid w:val="00722C26"/>
    <w:rsid w:val="00725D11"/>
    <w:rsid w:val="007C4F8E"/>
    <w:rsid w:val="007E2A34"/>
    <w:rsid w:val="0086296E"/>
    <w:rsid w:val="00893CFD"/>
    <w:rsid w:val="00965E62"/>
    <w:rsid w:val="00966906"/>
    <w:rsid w:val="00A03DBD"/>
    <w:rsid w:val="00A8776F"/>
    <w:rsid w:val="00B91DB3"/>
    <w:rsid w:val="00BC5F43"/>
    <w:rsid w:val="00BF4005"/>
    <w:rsid w:val="00C14487"/>
    <w:rsid w:val="00C35C9C"/>
    <w:rsid w:val="00C8634D"/>
    <w:rsid w:val="00CF6F65"/>
    <w:rsid w:val="00D724F6"/>
    <w:rsid w:val="00E229B5"/>
    <w:rsid w:val="00E57B6A"/>
    <w:rsid w:val="00E61D11"/>
    <w:rsid w:val="00F41247"/>
    <w:rsid w:val="00F5227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6</cp:revision>
  <cp:lastPrinted>2019-02-13T12:11:00Z</cp:lastPrinted>
  <dcterms:created xsi:type="dcterms:W3CDTF">2019-02-13T12:30:00Z</dcterms:created>
  <dcterms:modified xsi:type="dcterms:W3CDTF">2020-02-07T02:21:00Z</dcterms:modified>
</cp:coreProperties>
</file>