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任务背景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如何以最少的成本获取最多的新客户，是每个企业在运营的各个阶段都应思考的问题。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产品获客能力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作为电子商务经营活动的关键能力之一，能够帮助企业衡量产品为店铺或平台获取客户的能力。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双十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一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即将到来，某女装品牌线上店铺决定从店铺的卫衣类目中挑选一款打造爆款，作引流之用。为此，部门经理安排小周以最近一个月的运营数据为准，分析卫衣产品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的获客能力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，作为引流产品选择的一个重要指标。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任务分析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产品获客能力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是用来衡量产品为店铺或平台获取客户的能力，客户包括新客户与老客户，具体分析时不能简单地以占比高低来评判，因此小周在具体操作时将新客户分析的重点放在了新客点击量上，老客户分析的重点放在了重复购买率上，并根据店铺的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拉新成本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及老客户唤醒成本，对“新客点击量”、“重复购买率”这两个指标给出了相应的权重，进而通过计算综合评判各个卫衣产品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的获客能力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任务操作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利用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产品获客能力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分析来指导定位引流产品，其操作步骤及关键节点成果展示如下：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步骤1：数据获取。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学员下载</w:t>
      </w: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7" name="图片 7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源数据4-2 某企业卫衣类产品运营数据表.xlsx" w:history="1">
        <w:proofErr w:type="gramStart"/>
        <w:r>
          <w:rPr>
            <w:rStyle w:val="a5"/>
            <w:rFonts w:ascii="思源黑体" w:eastAsia="思源黑体" w:hint="eastAsia"/>
            <w:color w:val="0066CC"/>
            <w:sz w:val="18"/>
            <w:szCs w:val="18"/>
            <w:u w:val="none"/>
          </w:rPr>
          <w:t>源数据</w:t>
        </w:r>
        <w:proofErr w:type="gramEnd"/>
        <w:r>
          <w:rPr>
            <w:rStyle w:val="a5"/>
            <w:rFonts w:ascii="思源黑体" w:eastAsia="思源黑体" w:hint="eastAsia"/>
            <w:color w:val="0066CC"/>
            <w:sz w:val="18"/>
            <w:szCs w:val="18"/>
            <w:u w:val="none"/>
          </w:rPr>
          <w:t>4-2 某企业卫衣类产品运营数据表.xlsx</w:t>
        </w:r>
      </w:hyperlink>
      <w:r>
        <w:rPr>
          <w:rFonts w:ascii="思源黑体" w:eastAsia="思源黑体" w:hint="eastAsia"/>
          <w:color w:val="41474C"/>
          <w:sz w:val="21"/>
          <w:szCs w:val="21"/>
        </w:rPr>
        <w:t>，即可以获取小周所在企业近一个月关于卫衣类产品的运营数据表，下载数据表后，学员以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个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人为单位，将数据添加至Excel工具中，添加后的效果如图4-14所示。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9315450" cy="5267325"/>
            <wp:effectExtent l="0" t="0" r="0" b="9525"/>
            <wp:docPr id="6" name="图片 6" descr="4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图4-14 某企业卫衣类产品运营数据表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步骤2：新客点击量占比计算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添加“新客点击量占比”字段，利用公式“新客点击量占比=新客点击量/点击量”计算出各产品的新客点击量占比，如图4-15所示。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10658475" cy="5267325"/>
            <wp:effectExtent l="0" t="0" r="9525" b="9525"/>
            <wp:docPr id="5" name="图片 5" descr="4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-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图4-15 新客点击量占比计算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步骤3：</w:t>
      </w:r>
      <w:proofErr w:type="gramStart"/>
      <w:r>
        <w:rPr>
          <w:rStyle w:val="a4"/>
          <w:rFonts w:ascii="思源黑体" w:eastAsia="思源黑体" w:hint="eastAsia"/>
          <w:color w:val="41474C"/>
        </w:rPr>
        <w:t>复购率计算</w:t>
      </w:r>
      <w:proofErr w:type="gramEnd"/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添加“复购率”字段，按客户数量计算，利用公式“复购率=重复购买客户数量/客户总数量×100%”计算出各产品的复购率，如图4-16所示。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11391900" cy="5267325"/>
            <wp:effectExtent l="0" t="0" r="0" b="9525"/>
            <wp:docPr id="4" name="图片 4" descr="4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 xml:space="preserve">图4-16 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复购率计算</w:t>
      </w:r>
      <w:proofErr w:type="gramEnd"/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步骤4：加权计算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点击该工作簿中的“权重”工作表，查看小周企业给出的各指标权重，如图4-17所示。返回“运营数据表”工作表中，添加“综合得分”字段，利用加权计算得出各产品的综合得分，如图4-18所示。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9544050" cy="1400175"/>
            <wp:effectExtent l="0" t="0" r="0" b="9525"/>
            <wp:docPr id="3" name="图片 3" descr="4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1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lastRenderedPageBreak/>
        <w:t>图4-17 指标权重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12477750" cy="5743575"/>
            <wp:effectExtent l="0" t="0" r="0" b="9525"/>
            <wp:docPr id="2" name="图片 2" descr="4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-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图4-18 加权计算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步骤5：柱形图制作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插入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二维簇状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柱形图，完成行列数据互换、图表标题修改、坐标轴格式设置等操作，如图4-19所示。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16144875" cy="6953250"/>
            <wp:effectExtent l="0" t="0" r="9525" b="0"/>
            <wp:docPr id="1" name="图片 1" descr="4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图4-19 柱形图制作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步骤6：</w:t>
      </w:r>
      <w:proofErr w:type="gramStart"/>
      <w:r>
        <w:rPr>
          <w:rStyle w:val="a4"/>
          <w:rFonts w:ascii="思源黑体" w:eastAsia="思源黑体" w:hint="eastAsia"/>
          <w:color w:val="41474C"/>
        </w:rPr>
        <w:t>产品获客能力</w:t>
      </w:r>
      <w:proofErr w:type="gramEnd"/>
      <w:r>
        <w:rPr>
          <w:rStyle w:val="a4"/>
          <w:rFonts w:ascii="思源黑体" w:eastAsia="思源黑体" w:hint="eastAsia"/>
          <w:color w:val="41474C"/>
        </w:rPr>
        <w:t>分析。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学员结合制作完成的柱形图，对比分析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各卫衣产品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，从新客点击量、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复购率及其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综合得分方面完成</w:t>
      </w:r>
      <w:proofErr w:type="gramStart"/>
      <w:r>
        <w:rPr>
          <w:rFonts w:ascii="思源黑体" w:eastAsia="思源黑体" w:hint="eastAsia"/>
          <w:color w:val="41474C"/>
          <w:sz w:val="21"/>
          <w:szCs w:val="21"/>
        </w:rPr>
        <w:t>产品获客能力</w:t>
      </w:r>
      <w:proofErr w:type="gramEnd"/>
      <w:r>
        <w:rPr>
          <w:rFonts w:ascii="思源黑体" w:eastAsia="思源黑体" w:hint="eastAsia"/>
          <w:color w:val="41474C"/>
          <w:sz w:val="21"/>
          <w:szCs w:val="21"/>
        </w:rPr>
        <w:t>的分析，并对引流产品的选择给出建议。</w:t>
      </w:r>
    </w:p>
    <w:p w:rsidR="000F79BD" w:rsidRDefault="000F79BD" w:rsidP="000F79BD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点击左侧“开始实训”将分析结果上传提交。</w:t>
      </w:r>
    </w:p>
    <w:p w:rsidR="00433D0E" w:rsidRPr="000F79BD" w:rsidRDefault="00433D0E">
      <w:bookmarkStart w:id="0" w:name="_GoBack"/>
      <w:bookmarkEnd w:id="0"/>
    </w:p>
    <w:sectPr w:rsidR="00433D0E" w:rsidRPr="000F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2D"/>
    <w:rsid w:val="000F79BD"/>
    <w:rsid w:val="00433D0E"/>
    <w:rsid w:val="00B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9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79BD"/>
    <w:rPr>
      <w:b/>
      <w:bCs/>
    </w:rPr>
  </w:style>
  <w:style w:type="character" w:styleId="a5">
    <w:name w:val="Hyperlink"/>
    <w:basedOn w:val="a0"/>
    <w:uiPriority w:val="99"/>
    <w:semiHidden/>
    <w:unhideWhenUsed/>
    <w:rsid w:val="000F79B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79B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F79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9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79BD"/>
    <w:rPr>
      <w:b/>
      <w:bCs/>
    </w:rPr>
  </w:style>
  <w:style w:type="character" w:styleId="a5">
    <w:name w:val="Hyperlink"/>
    <w:basedOn w:val="a0"/>
    <w:uiPriority w:val="99"/>
    <w:semiHidden/>
    <w:unhideWhenUsed/>
    <w:rsid w:val="000F79B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79B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F7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19/1230/5e09bda6edcab.xls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2021-06-28T03:09:00Z</dcterms:created>
  <dcterms:modified xsi:type="dcterms:W3CDTF">2021-06-28T03:09:00Z</dcterms:modified>
</cp:coreProperties>
</file>