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left"/>
        <w:rPr>
          <w:rFonts w:hint="default" w:ascii="微软雅黑" w:hAnsi="微软雅黑" w:eastAsia="微软雅黑" w:cs="宋体"/>
          <w:color w:val="333333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lang w:val="en-US" w:eastAsia="zh-CN"/>
        </w:rPr>
        <w:t>一、单选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1.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>18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关于材料消耗的性质及确定材料消耗量的基本方法，下列说法正确的是(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 xml:space="preserve"> A 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 xml:space="preserve"> )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A.理论计算法适用于确定材料净用量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B.必须消耗的材料量是指材料的净用量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C.土石方爆破工程所需的炸药、雷管、引信属于非实体材料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D.现场统计法主要适用于确定材料损耗量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.【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】用于混凝土抹灰砂浆贴200*300瓷砖墙面，灰缝宽5mm，假设瓷砖损耗率为8%，则100m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vertAlign w:val="superscript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瓷砖墙面的瓷砖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是(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A.103.6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B.104.3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C.108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right="0" w:rightChars="0" w:firstLine="630" w:firstLineChars="3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108.7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Chars="300" w:right="0" w:rightChars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position w:val="-28"/>
          <w:sz w:val="21"/>
          <w:szCs w:val="21"/>
          <w:shd w:val="clear" w:fill="FFFFFF"/>
          <w:lang w:eastAsia="zh-CN"/>
        </w:rPr>
        <w:object>
          <v:shape id="_x0000_i1025" o:spt="75" type="#_x0000_t75" style="height:33pt;width:287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right="0" w:rightChars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多选题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right="0" w:rightChars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.【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】下列人工、材料、机械台班的消耗，应计入定额消耗量的有(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ACD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A.准备与结束工作时间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B.施工本身原因造成的工人停工时间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C.措施性材料的合理消耗量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D.不可避免的施工废料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E.低负荷下的机械工作时间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74A650"/>
    <w:multiLevelType w:val="singleLevel"/>
    <w:tmpl w:val="A574A650"/>
    <w:lvl w:ilvl="0" w:tentative="0">
      <w:start w:val="4"/>
      <w:numFmt w:val="upperLetter"/>
      <w:suff w:val="space"/>
      <w:lvlText w:val="%1."/>
      <w:lvlJc w:val="left"/>
    </w:lvl>
  </w:abstractNum>
  <w:abstractNum w:abstractNumId="1">
    <w:nsid w:val="12953CB8"/>
    <w:multiLevelType w:val="singleLevel"/>
    <w:tmpl w:val="12953C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E4B00"/>
    <w:rsid w:val="1868383D"/>
    <w:rsid w:val="53577ADF"/>
    <w:rsid w:val="5C2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2020-04-01T23:51:00Z</dcterms:created>
  <dc:creator>米蒙</dc:creator>
  <cp:lastModifiedBy>米蒙</cp:lastModifiedBy>
  <dcterms:modified xsi:type="dcterms:W3CDTF">2020-04-09T06:29:22Z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