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default" w:ascii="微软雅黑" w:hAnsi="微软雅黑" w:eastAsia="微软雅黑" w:cs="宋体"/>
          <w:b/>
          <w:bCs/>
          <w:color w:val="333333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lang w:val="en-US" w:eastAsia="zh-CN"/>
        </w:rPr>
        <w:t>一、单选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关于工程造价的分部组合计价原理，下列说法正确的是( )。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A.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分部分项工程费=基本构造单元工程量×工料单价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B.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工料单价指人工、材料和施工机械台班单价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C.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基本构造单元是由分部工程适当组合形成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D.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工程总价是按规定程序和方法逐级汇总形成的工程造价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2.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18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反应完成一定计量单位合格扩大结构构件需要消耗的人工、材料和施工机具 台班的数量的定额是( )。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A.概算指标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B.概算定额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C.预算定额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D.施工定额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.【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】关于工程定额的应用，下列说法正确的是(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A.施工定额是编制施工图预算的依据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B.行业统一定额只能在本行业范围内使用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C.企业定额反映了施工企业的生产消耗标佳，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用于工程计价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D.工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定额是工程定额的种美型，但不属于工程计价定额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.【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】在测定时所采用的方法中，测时法用于测定(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A.循环组成部分的工作时间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B.准备与结束时间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C.工人休息时间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D.非循环工作时间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二、多选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关于计时观察法测定定额，下列表述正确的有( )。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A.计时观察法能为进一步挖掘生产潜力提供技术依据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B.计时观察前需选定的正常施工条件中包括了对工人技术等级的选定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C.测时法主要用来测定定时重复的循环工作的时间消耗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D.写实记录法是研究整个工作班内各种工时消耗的方法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E.工作日写实法可以用于检查定额的执行情况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6.【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】下列人工、材料、机械台班的消耗，应计入定额消耗量的有(　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A.准备与结束工作时间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B.施工本身原因造成的工人停工时间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C.措施性材料的合理消耗量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D.不可避免的施工废料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E.低负荷下的机械工作时间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D6A09"/>
    <w:rsid w:val="0B9D6A09"/>
    <w:rsid w:val="3D1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2020-03-25T13:08:00Z</dcterms:created>
  <dc:creator>米蒙</dc:creator>
  <cp:lastModifiedBy>米蒙</cp:lastModifiedBy>
  <dcterms:modified xsi:type="dcterms:W3CDTF">2020-03-25T13:21:43Z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