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bCs/>
          <w:color w:val="333333"/>
          <w:kern w:val="0"/>
          <w:sz w:val="44"/>
          <w:szCs w:val="44"/>
        </w:rPr>
        <w:t>国家旅游局办公室关于将《旅行社质量保证金存取管理办法》修改为《旅游服务质量保证金存取管理办法》的通知</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旅办发〔2013〕170号</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各省、自治区、直辖市旅游局(委):</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为落实《旅游法》第三十一条关于旅游服务质量保证金用于垫付旅游者人身安全遇有危险时紧急救助费用的规定，将《旅行社质量保证金存取管理办法》(旅发〔2009〕25号，以下简称旧办法)修改为《旅游服务质量保证金存取管理办法》(以下简称新办法)。有关事项通知如下:</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1.将旅行社质量保证金修改为旅游服务质量保证金，在《旅游法》实施后，缴纳数额、存入方式等仍按《旅行社条例》、《旅行社条例实施细则》执行，使用范围除执行《旅行社条例》有关规定外，增加《旅游法》第三十一条用于垫付旅游者人身安全遇有危险时紧急救助费用的内容。</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lastRenderedPageBreak/>
        <w:t>2.新办法在保留旧办法整体结构及主要内容的基础上，在第二条、第十四条，第十五条以及附件《旅游服务质量保证金存款协议书》、《旅游服务质量保证金银行担保承诺书》、《旅游服务质量保证金取款通知书》中增加了旅游服务质量保证金用于垫付旅游者人身安全遇有危险紧急救助费用的内容，新增加了《旅游服务质量保证金取款申请书》、《关于使用旅游服务质量保证金垫付旅游者人身安全遇有危险时紧急救助费用的决定书》两个附件。</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现将修改后的《旅游服务质量保证金存取管理办法》印发给你们，请遵照执行。 </w:t>
      </w:r>
      <w:hyperlink r:id="rId6" w:anchor="refff_24322034-25126231-1" w:history="1">
        <w:r w:rsidRPr="00035AE5">
          <w:rPr>
            <w:rFonts w:asciiTheme="minorEastAsia" w:hAnsiTheme="minorEastAsia" w:cs="Arial"/>
            <w:b/>
            <w:color w:val="3366CC"/>
            <w:kern w:val="0"/>
            <w:sz w:val="44"/>
            <w:szCs w:val="44"/>
            <w:u w:val="single"/>
          </w:rPr>
          <w:t>[1]</w:t>
        </w:r>
      </w:hyperlink>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附件:旅游服务质量保证金存取管理办法</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国家旅游局办公室</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2013年9月26日</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bookmarkStart w:id="0" w:name="24322034-25126231-2"/>
      <w:bookmarkEnd w:id="0"/>
      <w:r w:rsidRPr="00035AE5">
        <w:rPr>
          <w:rFonts w:asciiTheme="minorEastAsia" w:hAnsiTheme="minorEastAsia" w:cs="Arial"/>
          <w:b/>
          <w:bCs/>
          <w:color w:val="333333"/>
          <w:kern w:val="0"/>
          <w:sz w:val="44"/>
          <w:szCs w:val="44"/>
        </w:rPr>
        <w:t>旅游服务质量保证金存取管理办法</w:t>
      </w:r>
    </w:p>
    <w:p w:rsidR="00C94EEE" w:rsidRPr="00035AE5" w:rsidRDefault="00C94EEE" w:rsidP="00C94EEE">
      <w:pPr>
        <w:widowControl/>
        <w:pBdr>
          <w:bottom w:val="single" w:sz="6" w:space="9" w:color="ECECEC"/>
        </w:pBdr>
        <w:shd w:val="clear" w:color="auto" w:fill="FFFFFF"/>
        <w:spacing w:before="300" w:after="180" w:line="270" w:lineRule="atLeast"/>
        <w:jc w:val="left"/>
        <w:outlineLvl w:val="2"/>
        <w:rPr>
          <w:rFonts w:asciiTheme="minorEastAsia" w:hAnsiTheme="minorEastAsia" w:cs="Arial"/>
          <w:b/>
          <w:color w:val="333333"/>
          <w:kern w:val="0"/>
          <w:sz w:val="44"/>
          <w:szCs w:val="44"/>
        </w:rPr>
      </w:pPr>
      <w:bookmarkStart w:id="1" w:name="24322034-25126231-2_1"/>
      <w:bookmarkEnd w:id="1"/>
      <w:r w:rsidRPr="00035AE5">
        <w:rPr>
          <w:rFonts w:asciiTheme="minorEastAsia" w:hAnsiTheme="minorEastAsia" w:cs="Arial"/>
          <w:b/>
          <w:color w:val="333333"/>
          <w:kern w:val="0"/>
          <w:sz w:val="44"/>
          <w:szCs w:val="44"/>
        </w:rPr>
        <w:t>第一章总则</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lastRenderedPageBreak/>
        <w:t>第一条 为规范对旅游服务质量保证金的管理，根据《</w:t>
      </w:r>
      <w:hyperlink r:id="rId7" w:tgtFrame="_blank" w:history="1">
        <w:r w:rsidRPr="00035AE5">
          <w:rPr>
            <w:rFonts w:asciiTheme="minorEastAsia" w:hAnsiTheme="minorEastAsia" w:cs="Arial"/>
            <w:b/>
            <w:color w:val="136EC2"/>
            <w:kern w:val="0"/>
            <w:sz w:val="44"/>
            <w:szCs w:val="44"/>
            <w:u w:val="single"/>
          </w:rPr>
          <w:t>中华人民共和国旅游法</w:t>
        </w:r>
      </w:hyperlink>
      <w:r w:rsidRPr="00035AE5">
        <w:rPr>
          <w:rFonts w:asciiTheme="minorEastAsia" w:hAnsiTheme="minorEastAsia" w:cs="Arial"/>
          <w:b/>
          <w:color w:val="333333"/>
          <w:kern w:val="0"/>
          <w:sz w:val="44"/>
          <w:szCs w:val="44"/>
        </w:rPr>
        <w:t>》、《</w:t>
      </w:r>
      <w:hyperlink r:id="rId8" w:tgtFrame="_blank" w:history="1">
        <w:r w:rsidRPr="00035AE5">
          <w:rPr>
            <w:rFonts w:asciiTheme="minorEastAsia" w:hAnsiTheme="minorEastAsia" w:cs="Arial"/>
            <w:b/>
            <w:color w:val="136EC2"/>
            <w:kern w:val="0"/>
            <w:sz w:val="44"/>
            <w:szCs w:val="44"/>
            <w:u w:val="single"/>
          </w:rPr>
          <w:t>中华人民共和国商业银行法</w:t>
        </w:r>
      </w:hyperlink>
      <w:r w:rsidRPr="00035AE5">
        <w:rPr>
          <w:rFonts w:asciiTheme="minorEastAsia" w:hAnsiTheme="minorEastAsia" w:cs="Arial"/>
          <w:b/>
          <w:color w:val="333333"/>
          <w:kern w:val="0"/>
          <w:sz w:val="44"/>
          <w:szCs w:val="44"/>
        </w:rPr>
        <w:t>》、《</w:t>
      </w:r>
      <w:hyperlink r:id="rId9" w:tgtFrame="_blank" w:history="1">
        <w:r w:rsidRPr="00035AE5">
          <w:rPr>
            <w:rFonts w:asciiTheme="minorEastAsia" w:hAnsiTheme="minorEastAsia" w:cs="Arial"/>
            <w:b/>
            <w:color w:val="136EC2"/>
            <w:kern w:val="0"/>
            <w:sz w:val="44"/>
            <w:szCs w:val="44"/>
            <w:u w:val="single"/>
          </w:rPr>
          <w:t>中华人民共和国担保法</w:t>
        </w:r>
      </w:hyperlink>
      <w:r w:rsidRPr="00035AE5">
        <w:rPr>
          <w:rFonts w:asciiTheme="minorEastAsia" w:hAnsiTheme="minorEastAsia" w:cs="Arial"/>
          <w:b/>
          <w:color w:val="333333"/>
          <w:kern w:val="0"/>
          <w:sz w:val="44"/>
          <w:szCs w:val="44"/>
        </w:rPr>
        <w:t>》、《</w:t>
      </w:r>
      <w:hyperlink r:id="rId10" w:tgtFrame="_blank" w:history="1">
        <w:r w:rsidRPr="00035AE5">
          <w:rPr>
            <w:rFonts w:asciiTheme="minorEastAsia" w:hAnsiTheme="minorEastAsia" w:cs="Arial"/>
            <w:b/>
            <w:color w:val="136EC2"/>
            <w:kern w:val="0"/>
            <w:sz w:val="44"/>
            <w:szCs w:val="44"/>
            <w:u w:val="single"/>
          </w:rPr>
          <w:t>中华人民共和国合同法</w:t>
        </w:r>
      </w:hyperlink>
      <w:r w:rsidRPr="00035AE5">
        <w:rPr>
          <w:rFonts w:asciiTheme="minorEastAsia" w:hAnsiTheme="minorEastAsia" w:cs="Arial"/>
          <w:b/>
          <w:color w:val="333333"/>
          <w:kern w:val="0"/>
          <w:sz w:val="44"/>
          <w:szCs w:val="44"/>
        </w:rPr>
        <w:t>》和《</w:t>
      </w:r>
      <w:hyperlink r:id="rId11" w:tgtFrame="_blank" w:history="1">
        <w:r w:rsidRPr="00035AE5">
          <w:rPr>
            <w:rFonts w:asciiTheme="minorEastAsia" w:hAnsiTheme="minorEastAsia" w:cs="Arial"/>
            <w:b/>
            <w:color w:val="136EC2"/>
            <w:kern w:val="0"/>
            <w:sz w:val="44"/>
            <w:szCs w:val="44"/>
            <w:u w:val="single"/>
          </w:rPr>
          <w:t>旅行社条例</w:t>
        </w:r>
      </w:hyperlink>
      <w:r w:rsidRPr="00035AE5">
        <w:rPr>
          <w:rFonts w:asciiTheme="minorEastAsia" w:hAnsiTheme="minorEastAsia" w:cs="Arial"/>
          <w:b/>
          <w:color w:val="333333"/>
          <w:kern w:val="0"/>
          <w:sz w:val="44"/>
          <w:szCs w:val="44"/>
        </w:rPr>
        <w:t>》的规定，制定本办法。</w:t>
      </w:r>
    </w:p>
    <w:p w:rsidR="00C94EEE" w:rsidRPr="008E4A30"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52"/>
          <w:szCs w:val="52"/>
        </w:rPr>
      </w:pPr>
      <w:r w:rsidRPr="008E4A30">
        <w:rPr>
          <w:rFonts w:asciiTheme="minorEastAsia" w:hAnsiTheme="minorEastAsia" w:cs="Arial"/>
          <w:b/>
          <w:color w:val="333333"/>
          <w:kern w:val="0"/>
          <w:sz w:val="52"/>
          <w:szCs w:val="52"/>
        </w:rPr>
        <w:t>第二条 旅游服务质量保证金(以下简称"保证金")是指根据《中华人民共和国旅游法》及《旅行社条例》的规定，由旅行社在指定银行缴存或由银行担保提供的一定数额用于旅游服务质量赔偿支付和团队旅游者人身安全遇有危险时紧急救助费用垫付的资金。</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第三条 依据《旅行社条例》第十三条第一款的规定，为旅行社开设保证金专用账户或提供保证金担保业务的银行，由国家旅游局指定。国家旅游局本着公平、公开、公正</w:t>
      </w:r>
      <w:r w:rsidRPr="00035AE5">
        <w:rPr>
          <w:rFonts w:asciiTheme="minorEastAsia" w:hAnsiTheme="minorEastAsia" w:cs="Arial"/>
          <w:b/>
          <w:color w:val="333333"/>
          <w:kern w:val="0"/>
          <w:sz w:val="44"/>
          <w:szCs w:val="44"/>
        </w:rPr>
        <w:lastRenderedPageBreak/>
        <w:t>的原则，指定符合法律、法规和本办法规定并提出书面申请的中国境内(不含港澳台地区)商业银行作为保证金的存储银行。</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第四条 旅行社须在国家旅游局指定的范围内，选择一家银行(含其银行分支机构)存储保证金。保证金实行专户管理，专款专用。银行为旅行社开设保证金专用账户。当专用账户资金额度不足时，旅行社可对不足部分申请银行担保，但担保条件须符合银行要求。</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第五条 银行本着服务客户的原则受理旅行社的保证金存储业务，按期办理保证金的存款、取款和支付手续，不得为不符合担保条件的旅行社提供担保。</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第六条 旅行社要按照《旅行社条例》的规定，到指定银行办理存款、取款和支付手续。</w:t>
      </w:r>
      <w:hyperlink r:id="rId12" w:anchor="refff_24322034-25126231-1" w:history="1">
        <w:r w:rsidRPr="00035AE5">
          <w:rPr>
            <w:rFonts w:asciiTheme="minorEastAsia" w:hAnsiTheme="minorEastAsia" w:cs="Arial"/>
            <w:b/>
            <w:color w:val="3366CC"/>
            <w:kern w:val="0"/>
            <w:sz w:val="44"/>
            <w:szCs w:val="44"/>
            <w:u w:val="single"/>
          </w:rPr>
          <w:t>[1]</w:t>
        </w:r>
      </w:hyperlink>
    </w:p>
    <w:p w:rsidR="00C94EEE" w:rsidRPr="00035AE5" w:rsidRDefault="00C94EEE" w:rsidP="00C94EEE">
      <w:pPr>
        <w:widowControl/>
        <w:pBdr>
          <w:bottom w:val="single" w:sz="6" w:space="9" w:color="ECECEC"/>
        </w:pBdr>
        <w:shd w:val="clear" w:color="auto" w:fill="FFFFFF"/>
        <w:spacing w:before="300" w:after="180" w:line="270" w:lineRule="atLeast"/>
        <w:jc w:val="left"/>
        <w:outlineLvl w:val="2"/>
        <w:rPr>
          <w:rFonts w:asciiTheme="minorEastAsia" w:hAnsiTheme="minorEastAsia" w:cs="Arial"/>
          <w:b/>
          <w:color w:val="333333"/>
          <w:kern w:val="0"/>
          <w:sz w:val="44"/>
          <w:szCs w:val="44"/>
        </w:rPr>
      </w:pPr>
      <w:bookmarkStart w:id="2" w:name="24322034-25126231-2_2"/>
      <w:bookmarkEnd w:id="2"/>
      <w:r w:rsidRPr="00035AE5">
        <w:rPr>
          <w:rFonts w:asciiTheme="minorEastAsia" w:hAnsiTheme="minorEastAsia" w:cs="Arial"/>
          <w:b/>
          <w:color w:val="333333"/>
          <w:kern w:val="0"/>
          <w:sz w:val="44"/>
          <w:szCs w:val="44"/>
        </w:rPr>
        <w:t>第二章存款</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第七条 旅行社需要存缴保证金时，须持《营业执照》副本、《旅行社业务经营许可证》副本到银行办理存款手续。存缴保证金</w:t>
      </w:r>
      <w:r w:rsidRPr="00035AE5">
        <w:rPr>
          <w:rFonts w:asciiTheme="minorEastAsia" w:hAnsiTheme="minorEastAsia" w:cs="Arial"/>
          <w:b/>
          <w:color w:val="333333"/>
          <w:kern w:val="0"/>
          <w:sz w:val="44"/>
          <w:szCs w:val="44"/>
        </w:rPr>
        <w:lastRenderedPageBreak/>
        <w:t>的旅行社须与银行签订《旅游服务质量保证金存款协议书》(附件1)，并将复印件送许可的旅游行政主管部门备案。</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第八条 为最大限度提高资金效益、简化续存手续，银行按照不少于一年定期、到期自动结息转存方式管理保证金，中途提取部分改按活期结算利息。利息收入全部归旅行社所有。</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第九条 为防止保证金存单质押，银行应在存单上注明"专用存款不得质押"字样。</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第十条 银行提出保证金担保的，由银行向许可的旅游行政主管部门出具《旅游服务质量保证金银行担保函》(附件2)。银行担保期限不得少于一年。担保期限届满前3个工作日，应续办担保手续。</w:t>
      </w:r>
      <w:hyperlink r:id="rId13" w:anchor="refff_24322034-25126231-1" w:history="1">
        <w:r w:rsidRPr="00035AE5">
          <w:rPr>
            <w:rFonts w:asciiTheme="minorEastAsia" w:hAnsiTheme="minorEastAsia" w:cs="Arial"/>
            <w:b/>
            <w:color w:val="3366CC"/>
            <w:kern w:val="0"/>
            <w:sz w:val="44"/>
            <w:szCs w:val="44"/>
            <w:u w:val="single"/>
          </w:rPr>
          <w:t>[1]</w:t>
        </w:r>
      </w:hyperlink>
    </w:p>
    <w:p w:rsidR="00C94EEE" w:rsidRPr="00035AE5" w:rsidRDefault="00C94EEE" w:rsidP="00C94EEE">
      <w:pPr>
        <w:widowControl/>
        <w:pBdr>
          <w:bottom w:val="single" w:sz="6" w:space="9" w:color="ECECEC"/>
        </w:pBdr>
        <w:shd w:val="clear" w:color="auto" w:fill="FFFFFF"/>
        <w:spacing w:before="300" w:after="180" w:line="270" w:lineRule="atLeast"/>
        <w:jc w:val="left"/>
        <w:outlineLvl w:val="2"/>
        <w:rPr>
          <w:rFonts w:asciiTheme="minorEastAsia" w:hAnsiTheme="minorEastAsia" w:cs="Arial"/>
          <w:b/>
          <w:color w:val="333333"/>
          <w:kern w:val="0"/>
          <w:sz w:val="44"/>
          <w:szCs w:val="44"/>
        </w:rPr>
      </w:pPr>
      <w:bookmarkStart w:id="3" w:name="24322034-25126231-2_3"/>
      <w:bookmarkEnd w:id="3"/>
      <w:r w:rsidRPr="00035AE5">
        <w:rPr>
          <w:rFonts w:asciiTheme="minorEastAsia" w:hAnsiTheme="minorEastAsia" w:cs="Arial"/>
          <w:b/>
          <w:color w:val="333333"/>
          <w:kern w:val="0"/>
          <w:sz w:val="44"/>
          <w:szCs w:val="44"/>
        </w:rPr>
        <w:t>第三章取款</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第十一条 旅行社因解散或破产清算、业务变更或撤减分社减交、三年内未因侵害旅游者合法权益受到行政机关罚款以上处罚而降低保证金数额50%等原因，需要支取保</w:t>
      </w:r>
      <w:r w:rsidRPr="00035AE5">
        <w:rPr>
          <w:rFonts w:asciiTheme="minorEastAsia" w:hAnsiTheme="minorEastAsia" w:cs="Arial"/>
          <w:b/>
          <w:color w:val="333333"/>
          <w:kern w:val="0"/>
          <w:sz w:val="44"/>
          <w:szCs w:val="44"/>
        </w:rPr>
        <w:lastRenderedPageBreak/>
        <w:t>证金时，须向许可的旅游行政主管部门提出，许可的旅游行政主管部门审核出具《旅游服务质量保证金取款通知书》(附件3)。银行根据《旅游服务质量保证金取款通知书》，将相应数额的保证金退还给旅行社。</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第十二条 发生《旅行社条例》第十五条规定的情形，银行应根据旅游行政主管部门出具的《旅游服务质量保证金取款通知书》及《旅游行政主管部门划拨旅游服务质量保证金决定书》，经与旅游行政主管部门核实无误后，在5个工作日内将保证金以现金或转账方式直接向旅游者支付。</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第十三条 发生《旅行社条例》第十六条规定的情形，银行根据人民法院判决、裁定及其他生效法律文书执行。</w:t>
      </w:r>
    </w:p>
    <w:p w:rsidR="00C94EEE" w:rsidRPr="000968AF"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52"/>
          <w:szCs w:val="52"/>
        </w:rPr>
      </w:pPr>
      <w:r w:rsidRPr="000968AF">
        <w:rPr>
          <w:rFonts w:asciiTheme="minorEastAsia" w:hAnsiTheme="minorEastAsia" w:cs="Arial"/>
          <w:b/>
          <w:color w:val="333333"/>
          <w:kern w:val="0"/>
          <w:sz w:val="52"/>
          <w:szCs w:val="52"/>
        </w:rPr>
        <w:t>第十四条 发生《旅游法》第三十一条规定的旅游者人身安全遇有危险时紧急救助费用垫付的情形，旅行社提出申请的(申请书样式见附件4)，</w:t>
      </w:r>
      <w:r w:rsidRPr="000968AF">
        <w:rPr>
          <w:rFonts w:asciiTheme="minorEastAsia" w:hAnsiTheme="minorEastAsia" w:cs="Arial"/>
          <w:b/>
          <w:color w:val="333333"/>
          <w:kern w:val="0"/>
          <w:sz w:val="52"/>
          <w:szCs w:val="52"/>
        </w:rPr>
        <w:lastRenderedPageBreak/>
        <w:t>旅游行政主管部门应立即予以审核;旅游行政主管部门决定垫付的，需按实际所需确定垫付额度。申请额度和决定垫付额度均应在保证金账户现有额度内。</w:t>
      </w:r>
    </w:p>
    <w:p w:rsidR="00C94EEE" w:rsidRPr="000968AF"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52"/>
          <w:szCs w:val="52"/>
        </w:rPr>
      </w:pPr>
      <w:r w:rsidRPr="000968AF">
        <w:rPr>
          <w:rFonts w:asciiTheme="minorEastAsia" w:hAnsiTheme="minorEastAsia" w:cs="Arial"/>
          <w:b/>
          <w:color w:val="333333"/>
          <w:kern w:val="0"/>
          <w:sz w:val="52"/>
          <w:szCs w:val="52"/>
        </w:rPr>
        <w:t>银行根据旅游行政主管部门出具的《旅游服务质量保证金取款通知书》及《关于使用旅游服务质量保证金垫付旅游者人身安全遇有危险时紧急救助费用的决定书》(附件5)后24小时内，经与旅游行政主管部门核实无误后，将保证金以现金或转账方式直接向《旅游服务质量保证金取款通知书》中确定的单位或账户提供。</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lastRenderedPageBreak/>
        <w:t>第十五条 提供保证金担保的银行，因发生《旅行社条例》第十五条、第十六条规定的情形，在收到《旅游服务质量保证金取款通知书》及《旅游行政主管部门划拨旅游服务质量保证金决定书》或人民法院判决、裁定及其他生效法律文书5个工作日内履行担保责任;因发生《旅游法》第三十一条旅游者人身安全遇有危险时紧急救助费用垫付的情形，在收到《旅游服务质量保证金取款通知书》及《关于使用旅游服务质量保证金垫付旅游者人身安全遇有危险时紧急救助费用的决定书》24小时内履行担保责任。</w:t>
      </w:r>
      <w:hyperlink r:id="rId14" w:anchor="refff_24322034-25126231-1" w:history="1">
        <w:r w:rsidRPr="00035AE5">
          <w:rPr>
            <w:rFonts w:asciiTheme="minorEastAsia" w:hAnsiTheme="minorEastAsia" w:cs="Arial"/>
            <w:b/>
            <w:color w:val="3366CC"/>
            <w:kern w:val="0"/>
            <w:sz w:val="44"/>
            <w:szCs w:val="44"/>
            <w:u w:val="single"/>
          </w:rPr>
          <w:t>[1]</w:t>
        </w:r>
      </w:hyperlink>
    </w:p>
    <w:p w:rsidR="00C94EEE" w:rsidRPr="00035AE5" w:rsidRDefault="00C94EEE" w:rsidP="00C94EEE">
      <w:pPr>
        <w:widowControl/>
        <w:pBdr>
          <w:bottom w:val="single" w:sz="6" w:space="9" w:color="ECECEC"/>
        </w:pBdr>
        <w:shd w:val="clear" w:color="auto" w:fill="FFFFFF"/>
        <w:spacing w:before="300" w:after="180" w:line="270" w:lineRule="atLeast"/>
        <w:jc w:val="left"/>
        <w:outlineLvl w:val="2"/>
        <w:rPr>
          <w:rFonts w:asciiTheme="minorEastAsia" w:hAnsiTheme="minorEastAsia" w:cs="Arial"/>
          <w:b/>
          <w:color w:val="333333"/>
          <w:kern w:val="0"/>
          <w:sz w:val="44"/>
          <w:szCs w:val="44"/>
        </w:rPr>
      </w:pPr>
      <w:bookmarkStart w:id="4" w:name="24322034-25126231-2_4"/>
      <w:bookmarkEnd w:id="4"/>
      <w:r w:rsidRPr="00035AE5">
        <w:rPr>
          <w:rFonts w:asciiTheme="minorEastAsia" w:hAnsiTheme="minorEastAsia" w:cs="Arial"/>
          <w:b/>
          <w:color w:val="333333"/>
          <w:kern w:val="0"/>
          <w:sz w:val="44"/>
          <w:szCs w:val="44"/>
        </w:rPr>
        <w:t>第四章附则</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第十六条 银行应及时和定期通报保证金情况信息，具体通报内容和方式如下:</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(一)当旅游行政主管部门、人民法院依法划拨保证金后3个工作日内，将划拨单位、划拨数额、划拨依据文书等情况，通报给旅行社和许可的旅游行政主管部门。</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lastRenderedPageBreak/>
        <w:t>(二)银行应每季度将保证金存款对账单一式两份，发给旅行社和许可的旅游行政主管部门。</w:t>
      </w:r>
    </w:p>
    <w:p w:rsidR="00C94EEE" w:rsidRPr="00035AE5" w:rsidRDefault="00C94EEE" w:rsidP="00C94EEE">
      <w:pPr>
        <w:widowControl/>
        <w:shd w:val="clear" w:color="auto" w:fill="FFFFFF"/>
        <w:spacing w:after="225" w:line="360" w:lineRule="atLeast"/>
        <w:ind w:firstLine="480"/>
        <w:jc w:val="left"/>
        <w:rPr>
          <w:rFonts w:asciiTheme="minorEastAsia" w:hAnsiTheme="minorEastAsia" w:cs="Arial"/>
          <w:b/>
          <w:color w:val="333333"/>
          <w:kern w:val="0"/>
          <w:sz w:val="44"/>
          <w:szCs w:val="44"/>
        </w:rPr>
      </w:pPr>
      <w:r w:rsidRPr="00035AE5">
        <w:rPr>
          <w:rFonts w:asciiTheme="minorEastAsia" w:hAnsiTheme="minorEastAsia" w:cs="Arial"/>
          <w:b/>
          <w:color w:val="333333"/>
          <w:kern w:val="0"/>
          <w:sz w:val="44"/>
          <w:szCs w:val="44"/>
        </w:rPr>
        <w:t>第十七条 本办法自发布之日起实行。</w:t>
      </w:r>
      <w:bookmarkStart w:id="5" w:name="refer_24322034-25126231-6432065"/>
      <w:r w:rsidR="00E32C15" w:rsidRPr="00035AE5">
        <w:rPr>
          <w:rFonts w:asciiTheme="minorEastAsia" w:hAnsiTheme="minorEastAsia" w:cs="Arial"/>
          <w:b/>
          <w:color w:val="333333"/>
          <w:kern w:val="0"/>
          <w:sz w:val="44"/>
          <w:szCs w:val="44"/>
        </w:rPr>
        <w:fldChar w:fldCharType="begin"/>
      </w:r>
      <w:r w:rsidRPr="00035AE5">
        <w:rPr>
          <w:rFonts w:asciiTheme="minorEastAsia" w:hAnsiTheme="minorEastAsia" w:cs="Arial"/>
          <w:b/>
          <w:color w:val="333333"/>
          <w:kern w:val="0"/>
          <w:sz w:val="44"/>
          <w:szCs w:val="44"/>
        </w:rPr>
        <w:instrText xml:space="preserve"> HYPERLINK "https://baike.so.com/doc/24322034-25126231.html" \l "refff_24322034-25126231-1" </w:instrText>
      </w:r>
      <w:r w:rsidR="00E32C15" w:rsidRPr="00035AE5">
        <w:rPr>
          <w:rFonts w:asciiTheme="minorEastAsia" w:hAnsiTheme="minorEastAsia" w:cs="Arial"/>
          <w:b/>
          <w:color w:val="333333"/>
          <w:kern w:val="0"/>
          <w:sz w:val="44"/>
          <w:szCs w:val="44"/>
        </w:rPr>
        <w:fldChar w:fldCharType="separate"/>
      </w:r>
      <w:r w:rsidRPr="00035AE5">
        <w:rPr>
          <w:rFonts w:asciiTheme="minorEastAsia" w:hAnsiTheme="minorEastAsia" w:cs="Arial"/>
          <w:b/>
          <w:color w:val="3366CC"/>
          <w:kern w:val="0"/>
          <w:sz w:val="44"/>
          <w:szCs w:val="44"/>
          <w:u w:val="single"/>
        </w:rPr>
        <w:t>[1]</w:t>
      </w:r>
      <w:r w:rsidR="00E32C15" w:rsidRPr="00035AE5">
        <w:rPr>
          <w:rFonts w:asciiTheme="minorEastAsia" w:hAnsiTheme="minorEastAsia" w:cs="Arial"/>
          <w:b/>
          <w:color w:val="333333"/>
          <w:kern w:val="0"/>
          <w:sz w:val="44"/>
          <w:szCs w:val="44"/>
        </w:rPr>
        <w:fldChar w:fldCharType="end"/>
      </w:r>
      <w:bookmarkEnd w:id="5"/>
    </w:p>
    <w:p w:rsidR="005A5410" w:rsidRPr="00035AE5" w:rsidRDefault="005A5410">
      <w:pPr>
        <w:rPr>
          <w:rFonts w:asciiTheme="minorEastAsia" w:hAnsiTheme="minorEastAsia"/>
          <w:b/>
          <w:sz w:val="44"/>
          <w:szCs w:val="44"/>
        </w:rPr>
      </w:pPr>
    </w:p>
    <w:sectPr w:rsidR="005A5410" w:rsidRPr="00035AE5" w:rsidSect="005A54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9FF" w:rsidRDefault="000939FF" w:rsidP="00035AE5">
      <w:r>
        <w:separator/>
      </w:r>
    </w:p>
  </w:endnote>
  <w:endnote w:type="continuationSeparator" w:id="1">
    <w:p w:rsidR="000939FF" w:rsidRDefault="000939FF" w:rsidP="00035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9FF" w:rsidRDefault="000939FF" w:rsidP="00035AE5">
      <w:r>
        <w:separator/>
      </w:r>
    </w:p>
  </w:footnote>
  <w:footnote w:type="continuationSeparator" w:id="1">
    <w:p w:rsidR="000939FF" w:rsidRDefault="000939FF" w:rsidP="00035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EEE"/>
    <w:rsid w:val="00035AE5"/>
    <w:rsid w:val="000939FF"/>
    <w:rsid w:val="000968AF"/>
    <w:rsid w:val="005A5410"/>
    <w:rsid w:val="008E4A30"/>
    <w:rsid w:val="00BD6B86"/>
    <w:rsid w:val="00C94EEE"/>
    <w:rsid w:val="00DC462C"/>
    <w:rsid w:val="00E32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10"/>
    <w:pPr>
      <w:widowControl w:val="0"/>
      <w:jc w:val="both"/>
    </w:pPr>
  </w:style>
  <w:style w:type="paragraph" w:styleId="2">
    <w:name w:val="heading 2"/>
    <w:basedOn w:val="a"/>
    <w:link w:val="2Char"/>
    <w:uiPriority w:val="9"/>
    <w:qFormat/>
    <w:rsid w:val="00C94EE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94EE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4EEE"/>
    <w:rPr>
      <w:rFonts w:ascii="宋体" w:eastAsia="宋体" w:hAnsi="宋体" w:cs="宋体"/>
      <w:b/>
      <w:bCs/>
      <w:kern w:val="0"/>
      <w:sz w:val="36"/>
      <w:szCs w:val="36"/>
    </w:rPr>
  </w:style>
  <w:style w:type="character" w:customStyle="1" w:styleId="3Char">
    <w:name w:val="标题 3 Char"/>
    <w:basedOn w:val="a0"/>
    <w:link w:val="3"/>
    <w:uiPriority w:val="9"/>
    <w:rsid w:val="00C94EEE"/>
    <w:rPr>
      <w:rFonts w:ascii="宋体" w:eastAsia="宋体" w:hAnsi="宋体" w:cs="宋体"/>
      <w:b/>
      <w:bCs/>
      <w:kern w:val="0"/>
      <w:sz w:val="27"/>
      <w:szCs w:val="27"/>
    </w:rPr>
  </w:style>
  <w:style w:type="paragraph" w:styleId="a3">
    <w:name w:val="Normal (Web)"/>
    <w:basedOn w:val="a"/>
    <w:uiPriority w:val="99"/>
    <w:semiHidden/>
    <w:unhideWhenUsed/>
    <w:rsid w:val="00C94E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4EEE"/>
    <w:rPr>
      <w:b/>
      <w:bCs/>
    </w:rPr>
  </w:style>
  <w:style w:type="character" w:customStyle="1" w:styleId="apple-converted-space">
    <w:name w:val="apple-converted-space"/>
    <w:basedOn w:val="a0"/>
    <w:rsid w:val="00C94EEE"/>
  </w:style>
  <w:style w:type="character" w:styleId="a5">
    <w:name w:val="Hyperlink"/>
    <w:basedOn w:val="a0"/>
    <w:uiPriority w:val="99"/>
    <w:semiHidden/>
    <w:unhideWhenUsed/>
    <w:rsid w:val="00C94EEE"/>
    <w:rPr>
      <w:color w:val="0000FF"/>
      <w:u w:val="single"/>
    </w:rPr>
  </w:style>
  <w:style w:type="character" w:customStyle="1" w:styleId="opt">
    <w:name w:val="opt"/>
    <w:basedOn w:val="a0"/>
    <w:rsid w:val="00C94EEE"/>
  </w:style>
  <w:style w:type="paragraph" w:styleId="a6">
    <w:name w:val="header"/>
    <w:basedOn w:val="a"/>
    <w:link w:val="Char"/>
    <w:uiPriority w:val="99"/>
    <w:semiHidden/>
    <w:unhideWhenUsed/>
    <w:rsid w:val="00035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35AE5"/>
    <w:rPr>
      <w:sz w:val="18"/>
      <w:szCs w:val="18"/>
    </w:rPr>
  </w:style>
  <w:style w:type="paragraph" w:styleId="a7">
    <w:name w:val="footer"/>
    <w:basedOn w:val="a"/>
    <w:link w:val="Char0"/>
    <w:uiPriority w:val="99"/>
    <w:semiHidden/>
    <w:unhideWhenUsed/>
    <w:rsid w:val="00035AE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35AE5"/>
    <w:rPr>
      <w:sz w:val="18"/>
      <w:szCs w:val="18"/>
    </w:rPr>
  </w:style>
</w:styles>
</file>

<file path=word/webSettings.xml><?xml version="1.0" encoding="utf-8"?>
<w:webSettings xmlns:r="http://schemas.openxmlformats.org/officeDocument/2006/relationships" xmlns:w="http://schemas.openxmlformats.org/wordprocessingml/2006/main">
  <w:divs>
    <w:div w:id="1366517288">
      <w:bodyDiv w:val="1"/>
      <w:marLeft w:val="0"/>
      <w:marRight w:val="0"/>
      <w:marTop w:val="0"/>
      <w:marBottom w:val="0"/>
      <w:divBdr>
        <w:top w:val="none" w:sz="0" w:space="0" w:color="auto"/>
        <w:left w:val="none" w:sz="0" w:space="0" w:color="auto"/>
        <w:bottom w:val="none" w:sz="0" w:space="0" w:color="auto"/>
        <w:right w:val="none" w:sz="0" w:space="0" w:color="auto"/>
      </w:divBdr>
      <w:divsChild>
        <w:div w:id="1263999536">
          <w:marLeft w:val="0"/>
          <w:marRight w:val="0"/>
          <w:marTop w:val="0"/>
          <w:marBottom w:val="0"/>
          <w:divBdr>
            <w:top w:val="none" w:sz="0" w:space="0" w:color="auto"/>
            <w:left w:val="none" w:sz="0" w:space="0" w:color="auto"/>
            <w:bottom w:val="none" w:sz="0" w:space="0" w:color="auto"/>
            <w:right w:val="none" w:sz="0" w:space="0" w:color="auto"/>
          </w:divBdr>
          <w:divsChild>
            <w:div w:id="1682395063">
              <w:marLeft w:val="0"/>
              <w:marRight w:val="0"/>
              <w:marTop w:val="0"/>
              <w:marBottom w:val="0"/>
              <w:divBdr>
                <w:top w:val="none" w:sz="0" w:space="0" w:color="auto"/>
                <w:left w:val="none" w:sz="0" w:space="0" w:color="auto"/>
                <w:bottom w:val="none" w:sz="0" w:space="0" w:color="auto"/>
                <w:right w:val="none" w:sz="0" w:space="0" w:color="auto"/>
              </w:divBdr>
            </w:div>
          </w:divsChild>
        </w:div>
        <w:div w:id="1802067206">
          <w:marLeft w:val="0"/>
          <w:marRight w:val="0"/>
          <w:marTop w:val="0"/>
          <w:marBottom w:val="0"/>
          <w:divBdr>
            <w:top w:val="none" w:sz="0" w:space="0" w:color="auto"/>
            <w:left w:val="none" w:sz="0" w:space="0" w:color="auto"/>
            <w:bottom w:val="none" w:sz="0" w:space="0" w:color="auto"/>
            <w:right w:val="none" w:sz="0" w:space="0" w:color="auto"/>
          </w:divBdr>
          <w:divsChild>
            <w:div w:id="775906902">
              <w:marLeft w:val="0"/>
              <w:marRight w:val="0"/>
              <w:marTop w:val="0"/>
              <w:marBottom w:val="0"/>
              <w:divBdr>
                <w:top w:val="none" w:sz="0" w:space="0" w:color="auto"/>
                <w:left w:val="none" w:sz="0" w:space="0" w:color="auto"/>
                <w:bottom w:val="none" w:sz="0" w:space="0" w:color="auto"/>
                <w:right w:val="none" w:sz="0" w:space="0" w:color="auto"/>
              </w:divBdr>
            </w:div>
            <w:div w:id="713847268">
              <w:marLeft w:val="0"/>
              <w:marRight w:val="0"/>
              <w:marTop w:val="0"/>
              <w:marBottom w:val="0"/>
              <w:divBdr>
                <w:top w:val="none" w:sz="0" w:space="0" w:color="auto"/>
                <w:left w:val="none" w:sz="0" w:space="0" w:color="auto"/>
                <w:bottom w:val="none" w:sz="0" w:space="0" w:color="auto"/>
                <w:right w:val="none" w:sz="0" w:space="0" w:color="auto"/>
              </w:divBdr>
            </w:div>
            <w:div w:id="1702704321">
              <w:marLeft w:val="0"/>
              <w:marRight w:val="0"/>
              <w:marTop w:val="0"/>
              <w:marBottom w:val="0"/>
              <w:divBdr>
                <w:top w:val="none" w:sz="0" w:space="0" w:color="auto"/>
                <w:left w:val="none" w:sz="0" w:space="0" w:color="auto"/>
                <w:bottom w:val="none" w:sz="0" w:space="0" w:color="auto"/>
                <w:right w:val="none" w:sz="0" w:space="0" w:color="auto"/>
              </w:divBdr>
            </w:div>
            <w:div w:id="1514103474">
              <w:marLeft w:val="0"/>
              <w:marRight w:val="0"/>
              <w:marTop w:val="0"/>
              <w:marBottom w:val="0"/>
              <w:divBdr>
                <w:top w:val="none" w:sz="0" w:space="0" w:color="auto"/>
                <w:left w:val="none" w:sz="0" w:space="0" w:color="auto"/>
                <w:bottom w:val="none" w:sz="0" w:space="0" w:color="auto"/>
                <w:right w:val="none" w:sz="0" w:space="0" w:color="auto"/>
              </w:divBdr>
            </w:div>
            <w:div w:id="18773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312190-2445822.html" TargetMode="External"/><Relationship Id="rId13" Type="http://schemas.openxmlformats.org/officeDocument/2006/relationships/hyperlink" Target="https://baike.so.com/doc/24322034-25126231.html" TargetMode="External"/><Relationship Id="rId3" Type="http://schemas.openxmlformats.org/officeDocument/2006/relationships/webSettings" Target="webSettings.xml"/><Relationship Id="rId7" Type="http://schemas.openxmlformats.org/officeDocument/2006/relationships/hyperlink" Target="https://baike.so.com/doc/5382373-5618728.html" TargetMode="External"/><Relationship Id="rId12" Type="http://schemas.openxmlformats.org/officeDocument/2006/relationships/hyperlink" Target="https://baike.so.com/doc/24322034-2512623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so.com/doc/24322034-25126231.html" TargetMode="External"/><Relationship Id="rId11" Type="http://schemas.openxmlformats.org/officeDocument/2006/relationships/hyperlink" Target="https://baike.so.com/doc/2033795-2151916.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aike.so.com/doc/5469957-5707869.html" TargetMode="External"/><Relationship Id="rId4" Type="http://schemas.openxmlformats.org/officeDocument/2006/relationships/footnotes" Target="footnotes.xml"/><Relationship Id="rId9" Type="http://schemas.openxmlformats.org/officeDocument/2006/relationships/hyperlink" Target="https://baike.so.com/doc/5375114-5611184.html" TargetMode="External"/><Relationship Id="rId14" Type="http://schemas.openxmlformats.org/officeDocument/2006/relationships/hyperlink" Target="https://baike.so.com/doc/24322034-2512623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2017-10-15T15:10:00Z</dcterms:created>
  <dcterms:modified xsi:type="dcterms:W3CDTF">2017-10-19T14:06:00Z</dcterms:modified>
</cp:coreProperties>
</file>