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56" w:beforeLines="50" w:after="156" w:afterLines="50" w:line="700" w:lineRule="exact"/>
        <w:ind w:firstLine="539"/>
        <w:jc w:val="center"/>
        <w:rPr>
          <w:rFonts w:hint="eastAsia" w:ascii="方正书宋简体" w:eastAsia="方正书宋简体"/>
          <w:color w:val="auto"/>
          <w:sz w:val="32"/>
          <w:szCs w:val="40"/>
          <w:lang w:val="en-US" w:eastAsia="zh-CN"/>
        </w:rPr>
      </w:pPr>
      <w:r>
        <w:rPr>
          <w:rFonts w:hint="eastAsia" w:ascii="方正书宋简体" w:eastAsia="方正书宋简体"/>
          <w:color w:val="auto"/>
          <w:sz w:val="32"/>
          <w:szCs w:val="40"/>
          <w:lang w:eastAsia="zh-CN"/>
        </w:rPr>
        <w:t>建筑工程计量与计价</w:t>
      </w:r>
      <w:r>
        <w:rPr>
          <w:rFonts w:hint="eastAsia" w:ascii="方正书宋简体" w:eastAsia="方正书宋简体"/>
          <w:color w:val="auto"/>
          <w:sz w:val="32"/>
          <w:szCs w:val="40"/>
        </w:rPr>
        <w:t>课程整体设计</w:t>
      </w:r>
      <w:r>
        <w:rPr>
          <w:rFonts w:hint="eastAsia" w:ascii="方正书宋简体" w:eastAsia="方正书宋简体"/>
          <w:color w:val="auto"/>
          <w:sz w:val="32"/>
          <w:szCs w:val="40"/>
          <w:lang w:val="en-US" w:eastAsia="zh-CN"/>
        </w:rPr>
        <w:t xml:space="preserve">   </w:t>
      </w:r>
      <w:bookmarkStart w:id="0" w:name="_GoBack"/>
      <w:bookmarkEnd w:id="0"/>
      <w:r>
        <w:rPr>
          <w:rFonts w:hint="eastAsia" w:ascii="方正书宋简体" w:eastAsia="方正书宋简体"/>
          <w:color w:val="auto"/>
          <w:sz w:val="32"/>
          <w:szCs w:val="40"/>
          <w:lang w:val="en-US" w:eastAsia="zh-CN"/>
        </w:rPr>
        <w:t xml:space="preserve">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519"/>
        <w:gridCol w:w="324"/>
        <w:gridCol w:w="66"/>
        <w:gridCol w:w="543"/>
        <w:gridCol w:w="460"/>
        <w:gridCol w:w="111"/>
        <w:gridCol w:w="956"/>
        <w:gridCol w:w="264"/>
        <w:gridCol w:w="356"/>
        <w:gridCol w:w="668"/>
        <w:gridCol w:w="123"/>
        <w:gridCol w:w="541"/>
        <w:gridCol w:w="317"/>
        <w:gridCol w:w="961"/>
        <w:gridCol w:w="241"/>
        <w:gridCol w:w="503"/>
        <w:gridCol w:w="174"/>
        <w:gridCol w:w="803"/>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课程名称</w:t>
            </w:r>
          </w:p>
        </w:tc>
        <w:tc>
          <w:tcPr>
            <w:tcW w:w="2334" w:type="dxa"/>
            <w:gridSpan w:val="5"/>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建筑工程计量与计价</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课程类型</w:t>
            </w:r>
          </w:p>
        </w:tc>
        <w:tc>
          <w:tcPr>
            <w:tcW w:w="3559" w:type="dxa"/>
            <w:gridSpan w:val="8"/>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授课对象</w:t>
            </w:r>
          </w:p>
        </w:tc>
        <w:tc>
          <w:tcPr>
            <w:tcW w:w="2334" w:type="dxa"/>
            <w:gridSpan w:val="5"/>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2018级工程造价3班</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学时学分</w:t>
            </w:r>
          </w:p>
        </w:tc>
        <w:tc>
          <w:tcPr>
            <w:tcW w:w="3559" w:type="dxa"/>
            <w:gridSpan w:val="8"/>
            <w:noWrap w:val="0"/>
            <w:vAlign w:val="center"/>
          </w:tcPr>
          <w:p>
            <w:pPr>
              <w:spacing w:line="240" w:lineRule="exact"/>
              <w:jc w:val="right"/>
              <w:rPr>
                <w:rFonts w:hint="eastAsia" w:ascii="宋体" w:hAnsi="宋体"/>
                <w:color w:val="auto"/>
                <w:szCs w:val="21"/>
              </w:rPr>
            </w:pPr>
            <w:r>
              <w:rPr>
                <w:rFonts w:hint="eastAsia" w:ascii="宋体" w:hAnsi="宋体"/>
                <w:color w:val="auto"/>
                <w:szCs w:val="21"/>
                <w:lang w:val="en-US" w:eastAsia="zh-CN"/>
              </w:rPr>
              <w:t>114</w:t>
            </w:r>
            <w:r>
              <w:rPr>
                <w:rFonts w:hint="eastAsia" w:ascii="宋体" w:hAnsi="宋体"/>
                <w:color w:val="auto"/>
                <w:szCs w:val="21"/>
              </w:rPr>
              <w:t xml:space="preserve">学时     </w:t>
            </w:r>
            <w:r>
              <w:rPr>
                <w:rFonts w:hint="eastAsia" w:ascii="宋体" w:hAnsi="宋体"/>
                <w:color w:val="auto"/>
                <w:szCs w:val="21"/>
                <w:lang w:val="en-US" w:eastAsia="zh-CN"/>
              </w:rPr>
              <w:t xml:space="preserve">6.5 </w:t>
            </w:r>
            <w:r>
              <w:rPr>
                <w:rFonts w:hint="eastAsia" w:ascii="宋体" w:hAnsi="宋体"/>
                <w:color w:val="auto"/>
                <w:szCs w:val="21"/>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先修课程</w:t>
            </w:r>
          </w:p>
        </w:tc>
        <w:tc>
          <w:tcPr>
            <w:tcW w:w="2334" w:type="dxa"/>
            <w:gridSpan w:val="5"/>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建筑工程技术</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后修课程</w:t>
            </w:r>
          </w:p>
        </w:tc>
        <w:tc>
          <w:tcPr>
            <w:tcW w:w="3559" w:type="dxa"/>
            <w:gridSpan w:val="8"/>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工程造价控制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942" w:type="dxa"/>
            <w:gridSpan w:val="20"/>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color w:val="auto"/>
                <w:szCs w:val="21"/>
              </w:rPr>
              <w:t>教  学  时  数  按  学  期  分  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12" w:type="dxa"/>
            <w:gridSpan w:val="2"/>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本  课  程</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  时  数</w:t>
            </w:r>
          </w:p>
        </w:tc>
        <w:tc>
          <w:tcPr>
            <w:tcW w:w="1504" w:type="dxa"/>
            <w:gridSpan w:val="5"/>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已  讲  授</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  时  数</w:t>
            </w:r>
          </w:p>
        </w:tc>
        <w:tc>
          <w:tcPr>
            <w:tcW w:w="4427" w:type="dxa"/>
            <w:gridSpan w:val="9"/>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本学期学时数</w:t>
            </w:r>
          </w:p>
        </w:tc>
        <w:tc>
          <w:tcPr>
            <w:tcW w:w="1499" w:type="dxa"/>
            <w:gridSpan w:val="4"/>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尚  需</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512" w:type="dxa"/>
            <w:gridSpan w:val="2"/>
            <w:vMerge w:val="continue"/>
            <w:noWrap w:val="0"/>
            <w:vAlign w:val="center"/>
          </w:tcPr>
          <w:p>
            <w:pPr>
              <w:spacing w:line="240" w:lineRule="exact"/>
              <w:jc w:val="center"/>
              <w:rPr>
                <w:rFonts w:hint="eastAsia" w:ascii="宋体" w:hAnsi="宋体" w:eastAsia="宋体" w:cs="宋体"/>
                <w:color w:val="auto"/>
                <w:sz w:val="21"/>
                <w:szCs w:val="21"/>
              </w:rPr>
            </w:pPr>
          </w:p>
        </w:tc>
        <w:tc>
          <w:tcPr>
            <w:tcW w:w="1504" w:type="dxa"/>
            <w:gridSpan w:val="5"/>
            <w:vMerge w:val="continue"/>
            <w:noWrap w:val="0"/>
            <w:vAlign w:val="center"/>
          </w:tcPr>
          <w:p>
            <w:pPr>
              <w:spacing w:line="240" w:lineRule="exact"/>
              <w:jc w:val="center"/>
              <w:rPr>
                <w:rFonts w:hint="eastAsia" w:ascii="宋体" w:hAnsi="宋体" w:eastAsia="宋体" w:cs="宋体"/>
                <w:color w:val="auto"/>
                <w:sz w:val="21"/>
                <w:szCs w:val="21"/>
              </w:rPr>
            </w:pPr>
          </w:p>
        </w:tc>
        <w:tc>
          <w:tcPr>
            <w:tcW w:w="1576"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教学周数</w:t>
            </w:r>
          </w:p>
        </w:tc>
        <w:tc>
          <w:tcPr>
            <w:tcW w:w="1332"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周学时数</w:t>
            </w:r>
          </w:p>
        </w:tc>
        <w:tc>
          <w:tcPr>
            <w:tcW w:w="1519"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学期时数</w:t>
            </w:r>
          </w:p>
        </w:tc>
        <w:tc>
          <w:tcPr>
            <w:tcW w:w="1499" w:type="dxa"/>
            <w:gridSpan w:val="4"/>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2" w:type="dxa"/>
            <w:gridSpan w:val="2"/>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1504" w:type="dxa"/>
            <w:gridSpan w:val="5"/>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576"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332"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19"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1499" w:type="dxa"/>
            <w:gridSpan w:val="4"/>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942" w:type="dxa"/>
            <w:gridSpan w:val="20"/>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   学   期   学   时   分   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993" w:type="dxa"/>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讲授</w:t>
            </w:r>
          </w:p>
        </w:tc>
        <w:tc>
          <w:tcPr>
            <w:tcW w:w="843" w:type="dxa"/>
            <w:gridSpan w:val="2"/>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w:t>
            </w:r>
          </w:p>
        </w:tc>
        <w:tc>
          <w:tcPr>
            <w:tcW w:w="1069"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习题课</w:t>
            </w:r>
          </w:p>
        </w:tc>
        <w:tc>
          <w:tcPr>
            <w:tcW w:w="1067" w:type="dxa"/>
            <w:gridSpan w:val="2"/>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现 场</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教 学</w:t>
            </w:r>
          </w:p>
        </w:tc>
        <w:tc>
          <w:tcPr>
            <w:tcW w:w="1288" w:type="dxa"/>
            <w:gridSpan w:val="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课程设计</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大型作业</w:t>
            </w:r>
          </w:p>
        </w:tc>
        <w:tc>
          <w:tcPr>
            <w:tcW w:w="981"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测验</w:t>
            </w:r>
          </w:p>
        </w:tc>
        <w:tc>
          <w:tcPr>
            <w:tcW w:w="961" w:type="dxa"/>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复习课</w:t>
            </w:r>
          </w:p>
        </w:tc>
        <w:tc>
          <w:tcPr>
            <w:tcW w:w="744" w:type="dxa"/>
            <w:gridSpan w:val="2"/>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机动</w:t>
            </w:r>
          </w:p>
        </w:tc>
        <w:tc>
          <w:tcPr>
            <w:tcW w:w="996" w:type="dxa"/>
            <w:gridSpan w:val="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节假日</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占 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93" w:type="dxa"/>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70</w:t>
            </w:r>
          </w:p>
        </w:tc>
        <w:tc>
          <w:tcPr>
            <w:tcW w:w="843" w:type="dxa"/>
            <w:gridSpan w:val="2"/>
            <w:noWrap w:val="0"/>
            <w:vAlign w:val="center"/>
          </w:tcPr>
          <w:p>
            <w:pPr>
              <w:spacing w:line="240" w:lineRule="exact"/>
              <w:jc w:val="center"/>
              <w:rPr>
                <w:rFonts w:hint="eastAsia" w:ascii="宋体" w:hAnsi="宋体"/>
                <w:color w:val="auto"/>
                <w:szCs w:val="21"/>
              </w:rPr>
            </w:pPr>
          </w:p>
        </w:tc>
        <w:tc>
          <w:tcPr>
            <w:tcW w:w="1069"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44</w:t>
            </w:r>
          </w:p>
        </w:tc>
        <w:tc>
          <w:tcPr>
            <w:tcW w:w="1067" w:type="dxa"/>
            <w:gridSpan w:val="2"/>
            <w:noWrap w:val="0"/>
            <w:vAlign w:val="center"/>
          </w:tcPr>
          <w:p>
            <w:pPr>
              <w:spacing w:line="240" w:lineRule="exact"/>
              <w:jc w:val="center"/>
              <w:rPr>
                <w:rFonts w:hint="eastAsia" w:ascii="宋体" w:hAnsi="宋体"/>
                <w:color w:val="auto"/>
                <w:szCs w:val="21"/>
              </w:rPr>
            </w:pPr>
          </w:p>
        </w:tc>
        <w:tc>
          <w:tcPr>
            <w:tcW w:w="1288" w:type="dxa"/>
            <w:gridSpan w:val="3"/>
            <w:noWrap w:val="0"/>
            <w:vAlign w:val="center"/>
          </w:tcPr>
          <w:p>
            <w:pPr>
              <w:spacing w:line="240" w:lineRule="exact"/>
              <w:jc w:val="center"/>
              <w:rPr>
                <w:rFonts w:hint="eastAsia" w:ascii="宋体" w:hAnsi="宋体"/>
                <w:color w:val="auto"/>
                <w:szCs w:val="21"/>
              </w:rPr>
            </w:pPr>
          </w:p>
        </w:tc>
        <w:tc>
          <w:tcPr>
            <w:tcW w:w="981" w:type="dxa"/>
            <w:gridSpan w:val="3"/>
            <w:noWrap w:val="0"/>
            <w:vAlign w:val="center"/>
          </w:tcPr>
          <w:p>
            <w:pPr>
              <w:spacing w:line="240" w:lineRule="exact"/>
              <w:jc w:val="center"/>
              <w:rPr>
                <w:rFonts w:hint="eastAsia" w:ascii="宋体" w:hAnsi="宋体"/>
                <w:color w:val="auto"/>
                <w:szCs w:val="21"/>
              </w:rPr>
            </w:pPr>
          </w:p>
        </w:tc>
        <w:tc>
          <w:tcPr>
            <w:tcW w:w="961" w:type="dxa"/>
            <w:noWrap w:val="0"/>
            <w:vAlign w:val="center"/>
          </w:tcPr>
          <w:p>
            <w:pPr>
              <w:spacing w:line="240" w:lineRule="exact"/>
              <w:jc w:val="center"/>
              <w:rPr>
                <w:rFonts w:hint="eastAsia" w:ascii="宋体" w:hAnsi="宋体"/>
                <w:color w:val="auto"/>
                <w:szCs w:val="21"/>
              </w:rPr>
            </w:pPr>
          </w:p>
        </w:tc>
        <w:tc>
          <w:tcPr>
            <w:tcW w:w="744" w:type="dxa"/>
            <w:gridSpan w:val="2"/>
            <w:noWrap w:val="0"/>
            <w:vAlign w:val="center"/>
          </w:tcPr>
          <w:p>
            <w:pPr>
              <w:spacing w:line="240" w:lineRule="exact"/>
              <w:jc w:val="center"/>
              <w:rPr>
                <w:rFonts w:hint="eastAsia" w:ascii="宋体" w:hAnsi="宋体"/>
                <w:color w:val="auto"/>
                <w:szCs w:val="21"/>
              </w:rPr>
            </w:pPr>
          </w:p>
        </w:tc>
        <w:tc>
          <w:tcPr>
            <w:tcW w:w="996" w:type="dxa"/>
            <w:gridSpan w:val="3"/>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5"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课程目标</w:t>
            </w:r>
          </w:p>
        </w:tc>
        <w:tc>
          <w:tcPr>
            <w:tcW w:w="7430" w:type="dxa"/>
            <w:gridSpan w:val="18"/>
            <w:noWrap w:val="0"/>
            <w:vAlign w:val="center"/>
          </w:tcPr>
          <w:p>
            <w:pPr>
              <w:spacing w:line="240" w:lineRule="exact"/>
              <w:rPr>
                <w:rFonts w:hint="eastAsia" w:ascii="宋体" w:hAnsi="宋体"/>
                <w:color w:val="auto"/>
                <w:szCs w:val="21"/>
              </w:rPr>
            </w:pPr>
          </w:p>
          <w:p>
            <w:pPr>
              <w:spacing w:line="240" w:lineRule="exact"/>
              <w:rPr>
                <w:rFonts w:hint="eastAsia" w:ascii="宋体" w:hAnsi="宋体"/>
                <w:b/>
                <w:bCs/>
                <w:color w:val="auto"/>
                <w:szCs w:val="21"/>
              </w:rPr>
            </w:pPr>
            <w:r>
              <w:rPr>
                <w:rFonts w:hint="eastAsia" w:ascii="宋体" w:hAnsi="宋体"/>
                <w:b/>
                <w:bCs/>
                <w:color w:val="auto"/>
                <w:szCs w:val="21"/>
              </w:rPr>
              <w:t>能力目标：</w:t>
            </w:r>
          </w:p>
          <w:p>
            <w:pPr>
              <w:spacing w:line="240" w:lineRule="exact"/>
              <w:ind w:firstLine="420" w:firstLineChars="200"/>
              <w:rPr>
                <w:rFonts w:hint="eastAsia" w:ascii="宋体" w:hAnsi="宋体"/>
                <w:color w:val="auto"/>
                <w:szCs w:val="21"/>
              </w:rPr>
            </w:pPr>
            <w:r>
              <w:rPr>
                <w:rFonts w:hint="eastAsia" w:ascii="宋体" w:hAnsi="宋体"/>
                <w:color w:val="auto"/>
                <w:szCs w:val="21"/>
              </w:rPr>
              <w:t>①能够编制建设项目各阶段工程造价计价文件，在建设项目各阶段进行工程造价的控制；</w:t>
            </w:r>
          </w:p>
          <w:p>
            <w:pPr>
              <w:spacing w:line="240" w:lineRule="exact"/>
              <w:ind w:firstLine="420" w:firstLineChars="200"/>
              <w:rPr>
                <w:rFonts w:hint="eastAsia" w:ascii="宋体" w:hAnsi="宋体"/>
                <w:color w:val="auto"/>
                <w:szCs w:val="21"/>
              </w:rPr>
            </w:pPr>
            <w:r>
              <w:rPr>
                <w:rFonts w:hint="eastAsia" w:ascii="宋体" w:hAnsi="宋体"/>
                <w:color w:val="auto"/>
                <w:szCs w:val="21"/>
              </w:rPr>
              <w:t xml:space="preserve">②注重培养学生综合运用工程技术、经济、管理和法律知识，解决工程建设中造价管理实践问题的能力； </w:t>
            </w:r>
          </w:p>
          <w:p>
            <w:pPr>
              <w:spacing w:line="2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③ 培养学生从事工程造价管理的技术能力和职业能力，为学生毕业后取得造价工程师、建造师等职业资格打下基础。 </w:t>
            </w:r>
          </w:p>
          <w:p>
            <w:pPr>
              <w:spacing w:line="240" w:lineRule="exact"/>
              <w:rPr>
                <w:rFonts w:hint="eastAsia" w:ascii="宋体" w:hAnsi="宋体"/>
                <w:b/>
                <w:bCs/>
                <w:color w:val="auto"/>
                <w:szCs w:val="21"/>
              </w:rPr>
            </w:pPr>
            <w:r>
              <w:rPr>
                <w:rFonts w:hint="eastAsia" w:ascii="宋体" w:hAnsi="宋体"/>
                <w:b/>
                <w:bCs/>
                <w:color w:val="auto"/>
                <w:szCs w:val="21"/>
              </w:rPr>
              <w:t>知识目标：</w:t>
            </w:r>
          </w:p>
          <w:p>
            <w:pPr>
              <w:spacing w:line="240" w:lineRule="exact"/>
              <w:ind w:firstLine="420" w:firstLineChars="200"/>
              <w:rPr>
                <w:rFonts w:hint="eastAsia" w:ascii="宋体" w:hAnsi="宋体"/>
                <w:color w:val="auto"/>
                <w:szCs w:val="21"/>
              </w:rPr>
            </w:pPr>
            <w:r>
              <w:rPr>
                <w:rFonts w:hint="eastAsia" w:ascii="宋体" w:hAnsi="宋体"/>
                <w:color w:val="auto"/>
                <w:szCs w:val="21"/>
              </w:rPr>
              <w:t xml:space="preserve">①通过本课程的学习，使学生掌握工程造价管理相关知识、工程造价的构成及确定的依据。 </w:t>
            </w:r>
          </w:p>
          <w:p>
            <w:pPr>
              <w:spacing w:line="240" w:lineRule="exact"/>
              <w:rPr>
                <w:rFonts w:hint="eastAsia" w:ascii="宋体" w:hAnsi="宋体"/>
                <w:color w:val="auto"/>
                <w:szCs w:val="21"/>
              </w:rPr>
            </w:pPr>
            <w:r>
              <w:rPr>
                <w:rFonts w:hint="eastAsia" w:ascii="宋体" w:hAnsi="宋体"/>
                <w:color w:val="auto"/>
                <w:szCs w:val="21"/>
              </w:rPr>
              <w:t xml:space="preserve">    ② 通过本课程的学习，使学生熟练掌握建设项目全过程及建设项目各阶段工程造价管理的内容与方法。熟悉决策阶段投资估算和项目可行性研究方法；熟悉设计方案比选和优化的方法；了解交易阶段工程造价的管理方法；熟悉施工阶段工程变更的管理及工程索赔；熟悉竣工结算方法。</w:t>
            </w:r>
          </w:p>
          <w:p>
            <w:pPr>
              <w:spacing w:line="240" w:lineRule="exact"/>
              <w:rPr>
                <w:rFonts w:hint="eastAsia" w:ascii="宋体" w:hAnsi="宋体"/>
                <w:color w:val="auto"/>
                <w:szCs w:val="21"/>
              </w:rPr>
            </w:pPr>
            <w:r>
              <w:rPr>
                <w:rFonts w:hint="eastAsia" w:ascii="宋体" w:hAnsi="宋体"/>
                <w:color w:val="auto"/>
                <w:szCs w:val="21"/>
              </w:rPr>
              <w:t xml:space="preserve">    ③通过本课程的学习，使学生学会运用造价控制知识进行工程造价管理。</w:t>
            </w:r>
          </w:p>
          <w:p>
            <w:pPr>
              <w:spacing w:line="240" w:lineRule="exact"/>
              <w:rPr>
                <w:rFonts w:hint="eastAsia" w:ascii="宋体" w:hAnsi="宋体"/>
                <w:b/>
                <w:bCs/>
                <w:color w:val="auto"/>
                <w:szCs w:val="21"/>
              </w:rPr>
            </w:pPr>
            <w:r>
              <w:rPr>
                <w:rFonts w:hint="eastAsia" w:ascii="宋体" w:hAnsi="宋体"/>
                <w:b/>
                <w:bCs/>
                <w:color w:val="auto"/>
                <w:szCs w:val="21"/>
              </w:rPr>
              <w:t>素质目标：</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①培养学生勤奋向上、严谨细致的良好学习习惯和科学的</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工作态度；</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②培养学生具有创新与创业的基本能力；</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③培养学生具有爱岗敬业与团队合作精神；</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④培养学生具有公平竞争的意识；</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⑤培养学生具有自主学习的能力；</w:t>
            </w:r>
          </w:p>
          <w:p>
            <w:pPr>
              <w:spacing w:line="240" w:lineRule="exact"/>
              <w:rPr>
                <w:rFonts w:hint="eastAsia" w:ascii="宋体" w:hAnsi="宋体"/>
                <w:color w:val="auto"/>
                <w:szCs w:val="21"/>
              </w:rPr>
            </w:pPr>
            <w:r>
              <w:rPr>
                <w:rFonts w:hint="eastAsia" w:ascii="宋体" w:hAnsi="宋体"/>
                <w:color w:val="auto"/>
                <w:szCs w:val="21"/>
                <w:lang w:val="en-US" w:eastAsia="zh-CN"/>
              </w:rPr>
              <w:t xml:space="preserve">   ⑥培养学生具有拓展知识、接受终生教育的基本能力。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12" w:type="dxa"/>
            <w:gridSpan w:val="2"/>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课程内容</w:t>
            </w:r>
          </w:p>
        </w:tc>
        <w:tc>
          <w:tcPr>
            <w:tcW w:w="933"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序号</w:t>
            </w:r>
          </w:p>
        </w:tc>
        <w:tc>
          <w:tcPr>
            <w:tcW w:w="5675" w:type="dxa"/>
            <w:gridSpan w:val="1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学习单元（学习情境或项目）名称</w:t>
            </w:r>
          </w:p>
        </w:tc>
        <w:tc>
          <w:tcPr>
            <w:tcW w:w="82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绪论</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建筑工程定额</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建筑工程定额计价办法</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建筑工程工程量计算与定额应用概述</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土石方工程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地基处理与防护工程</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砌筑工程</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钢筋及混凝土工程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门窗及木结构工程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10</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屋面、防水、保温及防腐工程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11</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金属结构制作工程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12</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构筑物及其他工程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13</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装饰工程</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14</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施工技术措施项目</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15</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建筑工程费用</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16</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建设工程工程量清单计价规范</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17</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建设工程工程量清单计价办法的应用</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both"/>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87"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教学材料</w:t>
            </w:r>
          </w:p>
        </w:tc>
        <w:tc>
          <w:tcPr>
            <w:tcW w:w="7411" w:type="dxa"/>
            <w:gridSpan w:val="17"/>
            <w:noWrap w:val="0"/>
            <w:vAlign w:val="top"/>
          </w:tcPr>
          <w:p>
            <w:pPr>
              <w:spacing w:line="24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（指教材或讲义、参考资料、仪器、设备、教学软件等）</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b/>
                <w:bCs/>
                <w:color w:val="auto"/>
                <w:sz w:val="24"/>
                <w:szCs w:val="24"/>
              </w:rPr>
            </w:pPr>
            <w:r>
              <w:rPr>
                <w:rFonts w:hint="eastAsia" w:ascii="仿宋_GB2312" w:hAnsi="宋体" w:eastAsia="仿宋_GB2312"/>
                <w:b/>
                <w:bCs/>
                <w:color w:val="auto"/>
                <w:sz w:val="24"/>
                <w:szCs w:val="24"/>
                <w:lang w:val="en-US" w:eastAsia="zh-CN"/>
              </w:rPr>
              <w:t>1.</w:t>
            </w:r>
            <w:r>
              <w:rPr>
                <w:rFonts w:hint="eastAsia" w:ascii="仿宋_GB2312" w:hAnsi="宋体" w:eastAsia="仿宋_GB2312"/>
                <w:b/>
                <w:bCs/>
                <w:color w:val="auto"/>
                <w:sz w:val="24"/>
                <w:szCs w:val="24"/>
              </w:rPr>
              <w:t>使用教材：</w:t>
            </w:r>
          </w:p>
          <w:p>
            <w:pPr>
              <w:spacing w:line="240" w:lineRule="exact"/>
              <w:ind w:firstLine="210" w:firstLineChars="100"/>
              <w:rPr>
                <w:rFonts w:hint="eastAsia" w:ascii="宋体" w:hAnsi="宋体"/>
                <w:color w:val="auto"/>
                <w:szCs w:val="21"/>
                <w:lang w:val="en-US" w:eastAsia="zh-CN"/>
              </w:rPr>
            </w:pPr>
            <w:r>
              <w:rPr>
                <w:rFonts w:hint="eastAsia" w:ascii="宋体" w:hAnsi="宋体"/>
                <w:color w:val="auto"/>
                <w:szCs w:val="21"/>
                <w:lang w:val="en-US" w:eastAsia="zh-CN"/>
              </w:rPr>
              <w:t>（1）《建筑与装饰工程计量与计价》， 宋巧玲等编著，上海交通大学出版社，2018.</w:t>
            </w:r>
          </w:p>
          <w:p>
            <w:pPr>
              <w:spacing w:line="240" w:lineRule="exact"/>
              <w:rPr>
                <w:rFonts w:hint="eastAsia" w:ascii="仿宋_GB2312" w:hAnsi="宋体" w:eastAsia="仿宋_GB2312"/>
                <w:b/>
                <w:bCs/>
                <w:color w:val="auto"/>
                <w:sz w:val="24"/>
                <w:szCs w:val="24"/>
                <w:lang w:val="en-US" w:eastAsia="zh-CN"/>
              </w:rPr>
            </w:pPr>
            <w:r>
              <w:rPr>
                <w:rFonts w:hint="eastAsia" w:ascii="仿宋_GB2312" w:hAnsi="宋体" w:eastAsia="仿宋_GB2312"/>
                <w:b/>
                <w:bCs/>
                <w:color w:val="auto"/>
                <w:sz w:val="24"/>
                <w:szCs w:val="24"/>
                <w:lang w:val="en-US" w:eastAsia="zh-CN"/>
              </w:rPr>
              <w:t>2. 参考教材：</w:t>
            </w:r>
          </w:p>
          <w:p>
            <w:pPr>
              <w:spacing w:line="240" w:lineRule="exact"/>
              <w:rPr>
                <w:rFonts w:hint="eastAsia" w:ascii="宋体" w:hAnsi="宋体"/>
                <w:color w:val="auto"/>
                <w:szCs w:val="21"/>
                <w:lang w:val="en-US" w:eastAsia="zh-CN"/>
              </w:rPr>
            </w:pPr>
            <w:r>
              <w:rPr>
                <w:rFonts w:hint="eastAsia" w:ascii="仿宋_GB2312" w:hAnsi="宋体" w:eastAsia="仿宋_GB2312"/>
                <w:color w:val="auto"/>
                <w:szCs w:val="21"/>
              </w:rPr>
              <w:t xml:space="preserve">   </w:t>
            </w:r>
            <w:r>
              <w:rPr>
                <w:rFonts w:hint="eastAsia" w:ascii="宋体" w:hAnsi="宋体"/>
                <w:color w:val="auto"/>
                <w:szCs w:val="21"/>
                <w:lang w:val="en-US" w:eastAsia="zh-CN"/>
              </w:rPr>
              <w:t>《工程造价计价与控制》，2017全国造价工程师执业资格考试培训教材 ，中国计划出版社.</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87"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教学组</w:t>
            </w:r>
          </w:p>
          <w:p>
            <w:pPr>
              <w:spacing w:line="240" w:lineRule="exact"/>
              <w:jc w:val="center"/>
              <w:rPr>
                <w:rFonts w:hint="eastAsia" w:ascii="宋体" w:hAnsi="宋体"/>
                <w:color w:val="auto"/>
                <w:szCs w:val="21"/>
              </w:rPr>
            </w:pPr>
            <w:r>
              <w:rPr>
                <w:rFonts w:hint="eastAsia" w:ascii="宋体" w:hAnsi="宋体"/>
                <w:color w:val="auto"/>
                <w:szCs w:val="21"/>
              </w:rPr>
              <w:t>织形式</w:t>
            </w:r>
          </w:p>
        </w:tc>
        <w:tc>
          <w:tcPr>
            <w:tcW w:w="7411" w:type="dxa"/>
            <w:gridSpan w:val="17"/>
            <w:noWrap w:val="0"/>
            <w:vAlign w:val="top"/>
          </w:tcPr>
          <w:p>
            <w:pPr>
              <w:spacing w:line="24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（班级授课、分组教学以及组织具体安排方式等，如果是多位教师同时指导，还须说明教师分工安排）</w:t>
            </w:r>
          </w:p>
          <w:p>
            <w:pPr>
              <w:spacing w:line="240" w:lineRule="exact"/>
              <w:rPr>
                <w:rFonts w:hint="eastAsia" w:ascii="仿宋_GB2312" w:hAnsi="宋体" w:eastAsia="仿宋_GB2312"/>
                <w:color w:val="auto"/>
                <w:szCs w:val="21"/>
              </w:rPr>
            </w:pPr>
          </w:p>
          <w:p>
            <w:pPr>
              <w:spacing w:line="240" w:lineRule="exact"/>
              <w:rPr>
                <w:rFonts w:hint="eastAsia" w:ascii="宋体" w:hAnsi="宋体"/>
                <w:color w:val="auto"/>
                <w:szCs w:val="21"/>
                <w:lang w:val="en-US" w:eastAsia="zh-CN"/>
              </w:rPr>
            </w:pPr>
            <w:r>
              <w:rPr>
                <w:rFonts w:hint="eastAsia" w:ascii="仿宋_GB2312" w:hAnsi="宋体" w:eastAsia="仿宋_GB2312"/>
                <w:color w:val="auto"/>
                <w:szCs w:val="21"/>
                <w:lang w:val="en-US" w:eastAsia="zh-CN"/>
              </w:rPr>
              <w:t xml:space="preserve">    </w:t>
            </w:r>
            <w:r>
              <w:rPr>
                <w:rFonts w:hint="eastAsia" w:ascii="宋体" w:hAnsi="宋体"/>
                <w:color w:val="auto"/>
                <w:szCs w:val="21"/>
                <w:lang w:val="en-US" w:eastAsia="zh-CN"/>
              </w:rPr>
              <w:t>授课班级为2018级工程造价3班，共38人次，小班额授课，便于教学。</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宋体" w:hAnsi="宋体"/>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23"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考核方案</w:t>
            </w:r>
          </w:p>
        </w:tc>
        <w:tc>
          <w:tcPr>
            <w:tcW w:w="7411" w:type="dxa"/>
            <w:gridSpan w:val="17"/>
            <w:noWrap w:val="0"/>
            <w:vAlign w:val="center"/>
          </w:tcPr>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ind w:firstLine="420"/>
              <w:jc w:val="both"/>
              <w:rPr>
                <w:rFonts w:hint="eastAsia" w:ascii="宋体" w:hAnsi="宋体"/>
                <w:color w:val="auto"/>
                <w:szCs w:val="21"/>
                <w:lang w:val="en-US" w:eastAsia="zh-CN"/>
              </w:rPr>
            </w:pPr>
            <w:r>
              <w:rPr>
                <w:rFonts w:hint="eastAsia" w:ascii="宋体" w:hAnsi="宋体"/>
                <w:color w:val="auto"/>
                <w:szCs w:val="21"/>
                <w:lang w:val="en-US" w:eastAsia="zh-CN"/>
              </w:rPr>
              <w:t>本课程采用过程性考核和终结性考核相结合。过程性考核占30%，课内实训占20%，终结性考核占50%。</w:t>
            </w:r>
          </w:p>
          <w:p>
            <w:pPr>
              <w:spacing w:line="240" w:lineRule="exact"/>
              <w:ind w:firstLine="420"/>
              <w:jc w:val="both"/>
              <w:rPr>
                <w:rFonts w:hint="eastAsia" w:ascii="宋体" w:hAnsi="宋体"/>
                <w:color w:val="auto"/>
                <w:szCs w:val="21"/>
                <w:lang w:val="en-US" w:eastAsia="zh-CN"/>
              </w:rPr>
            </w:pPr>
            <w:r>
              <w:rPr>
                <w:rFonts w:hint="eastAsia" w:ascii="宋体" w:hAnsi="宋体"/>
                <w:color w:val="auto"/>
                <w:szCs w:val="21"/>
                <w:lang w:val="en-US" w:eastAsia="zh-CN"/>
              </w:rPr>
              <w:t>过程性考核主要包括平日考勤（占20%）、学习态度（占10%），作业完成占10%。</w:t>
            </w:r>
          </w:p>
          <w:p>
            <w:pPr>
              <w:spacing w:line="240" w:lineRule="exact"/>
              <w:jc w:val="center"/>
              <w:rPr>
                <w:rFonts w:ascii="宋体" w:hAnsi="宋体"/>
                <w:color w:val="auto"/>
                <w:szCs w:val="21"/>
              </w:rPr>
            </w:pPr>
          </w:p>
          <w:p>
            <w:pPr>
              <w:spacing w:line="240" w:lineRule="exact"/>
              <w:jc w:val="both"/>
              <w:rPr>
                <w:rFonts w:ascii="宋体" w:hAnsi="宋体"/>
                <w:color w:val="auto"/>
                <w:szCs w:val="21"/>
              </w:rPr>
            </w:pPr>
          </w:p>
          <w:p>
            <w:pPr>
              <w:spacing w:line="240" w:lineRule="exact"/>
              <w:jc w:val="both"/>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hint="eastAsia" w:ascii="宋体" w:hAnsi="宋体"/>
                <w:color w:val="auto"/>
                <w:szCs w:val="21"/>
              </w:rPr>
            </w:pPr>
          </w:p>
        </w:tc>
      </w:tr>
    </w:tbl>
    <w:p/>
    <w:sectPr>
      <w:pgSz w:w="11850" w:h="16783"/>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63F2A"/>
    <w:rsid w:val="25963F2A"/>
    <w:rsid w:val="71493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2020-03-12T14:12:00Z</dcterms:created>
  <dc:creator>小霞</dc:creator>
  <cp:lastModifiedBy>小霞</cp:lastModifiedBy>
  <dcterms:modified xsi:type="dcterms:W3CDTF">2020-03-12T14:14:20Z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