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楷体_GB2312"/>
          <w:b/>
          <w:bCs/>
          <w:sz w:val="52"/>
          <w:szCs w:val="52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楷体_GB2312"/>
          <w:b/>
          <w:bCs/>
          <w:sz w:val="52"/>
          <w:szCs w:val="52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sz w:val="72"/>
          <w:szCs w:val="72"/>
        </w:rPr>
        <w:t>《</w:t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>出国旅游那些事</w:t>
      </w:r>
      <w:r>
        <w:rPr>
          <w:rFonts w:hint="eastAsia" w:ascii="宋体" w:hAnsi="宋体" w:eastAsia="宋体" w:cs="宋体"/>
          <w:b/>
          <w:bCs/>
          <w:sz w:val="72"/>
          <w:szCs w:val="72"/>
        </w:rPr>
        <w:t>》</w:t>
      </w:r>
    </w:p>
    <w:p>
      <w:pPr>
        <w:spacing w:line="360" w:lineRule="auto"/>
        <w:jc w:val="center"/>
        <w:rPr>
          <w:rFonts w:hint="eastAsia" w:ascii="宋体" w:hAnsi="宋体" w:eastAsia="楷体_GB2312"/>
          <w:b/>
          <w:bCs/>
          <w:sz w:val="84"/>
          <w:szCs w:val="84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楷体_GB2312"/>
          <w:b/>
          <w:bCs/>
          <w:sz w:val="84"/>
          <w:szCs w:val="84"/>
          <w:lang w:eastAsia="zh-CN"/>
        </w:rPr>
      </w:pPr>
      <w:r>
        <w:rPr>
          <w:rFonts w:hint="eastAsia" w:ascii="宋体" w:hAnsi="宋体" w:eastAsia="楷体_GB2312"/>
          <w:b/>
          <w:bCs/>
          <w:sz w:val="84"/>
          <w:szCs w:val="84"/>
          <w:lang w:eastAsia="zh-CN"/>
        </w:rPr>
        <w:t>课程标准</w:t>
      </w:r>
    </w:p>
    <w:p>
      <w:pPr>
        <w:spacing w:line="360" w:lineRule="auto"/>
        <w:jc w:val="center"/>
        <w:rPr>
          <w:rFonts w:hint="eastAsia" w:ascii="宋体" w:hAnsi="宋体" w:eastAsia="楷体_GB2312"/>
          <w:b/>
          <w:bCs/>
          <w:sz w:val="52"/>
          <w:szCs w:val="52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楷体_GB2312"/>
          <w:b/>
          <w:bCs/>
          <w:sz w:val="52"/>
          <w:szCs w:val="52"/>
          <w:lang w:eastAsia="zh-CN"/>
        </w:rPr>
      </w:pP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课程名称：</w:t>
      </w:r>
      <w:r>
        <w:rPr>
          <w:rFonts w:hint="eastAsia" w:ascii="楷体_GB2312" w:hAnsi="华文仿宋" w:eastAsia="楷体_GB2312"/>
          <w:b/>
          <w:sz w:val="28"/>
          <w:szCs w:val="28"/>
          <w:u w:val="none"/>
          <w:lang w:val="en-US" w:eastAsia="zh-CN"/>
        </w:rPr>
        <w:t>出国旅游那些事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所属部门：</w:t>
      </w:r>
      <w:r>
        <w:rPr>
          <w:rFonts w:hint="eastAsia" w:ascii="楷体_GB2312" w:hAnsi="华文仿宋" w:eastAsia="楷体_GB2312"/>
          <w:b/>
          <w:sz w:val="28"/>
          <w:szCs w:val="28"/>
          <w:u w:val="none"/>
          <w:lang w:eastAsia="zh-CN"/>
        </w:rPr>
        <w:t>公共教学部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所属教研室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>：</w:t>
      </w:r>
      <w:r>
        <w:rPr>
          <w:rFonts w:hint="eastAsia" w:ascii="楷体_GB2312" w:hAnsi="华文仿宋" w:eastAsia="楷体_GB2312"/>
          <w:b/>
          <w:sz w:val="28"/>
          <w:szCs w:val="28"/>
          <w:u w:val="none"/>
          <w:lang w:eastAsia="zh-CN"/>
        </w:rPr>
        <w:t>公外教研室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制定人：</w:t>
      </w:r>
      <w:r>
        <w:rPr>
          <w:rFonts w:hint="eastAsia" w:ascii="楷体_GB2312" w:hAnsi="华文仿宋" w:eastAsia="楷体_GB2312"/>
          <w:b/>
          <w:sz w:val="28"/>
          <w:szCs w:val="28"/>
          <w:lang w:eastAsia="zh-CN"/>
        </w:rPr>
        <w:t>课程组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lang w:val="en-US" w:eastAsia="zh-CN"/>
        </w:rPr>
        <w:t>2020.01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</w:t>
      </w:r>
    </w:p>
    <w:p>
      <w:pPr>
        <w:spacing w:line="360" w:lineRule="auto"/>
        <w:jc w:val="center"/>
        <w:rPr>
          <w:rFonts w:ascii="楷体_GB2312" w:eastAsia="楷体_GB2312"/>
          <w:b/>
          <w:bCs/>
          <w:sz w:val="32"/>
        </w:rPr>
      </w:pPr>
    </w:p>
    <w:p>
      <w:pPr>
        <w:spacing w:line="360" w:lineRule="auto"/>
        <w:jc w:val="center"/>
        <w:rPr>
          <w:rFonts w:ascii="楷体_GB2312" w:eastAsia="楷体_GB2312"/>
          <w:b/>
          <w:bCs/>
          <w:sz w:val="32"/>
        </w:rPr>
      </w:pPr>
    </w:p>
    <w:p>
      <w:pPr>
        <w:spacing w:line="360" w:lineRule="auto"/>
        <w:rPr>
          <w:rFonts w:hint="eastAsia" w:ascii="楷体_GB2312" w:hAnsi="华文仿宋" w:eastAsia="楷体_GB2312"/>
          <w:b/>
          <w:sz w:val="36"/>
          <w:szCs w:val="36"/>
          <w:lang w:eastAsia="zh-CN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 xml:space="preserve">                  </w:t>
      </w:r>
      <w:r>
        <w:rPr>
          <w:rFonts w:hint="eastAsia" w:ascii="楷体_GB2312" w:hAnsi="华文仿宋" w:eastAsia="楷体_GB2312"/>
          <w:b/>
          <w:sz w:val="36"/>
          <w:szCs w:val="36"/>
          <w:lang w:eastAsia="zh-CN"/>
        </w:rPr>
        <w:t>公共教学部</w:t>
      </w:r>
    </w:p>
    <w:p>
      <w:pPr>
        <w:spacing w:line="360" w:lineRule="auto"/>
        <w:jc w:val="center"/>
        <w:rPr>
          <w:rFonts w:hint="eastAsia" w:ascii="宋体" w:hAnsi="宋体" w:eastAsia="楷体_GB2312"/>
          <w:b/>
          <w:bCs/>
          <w:sz w:val="52"/>
          <w:szCs w:val="52"/>
          <w:lang w:eastAsia="zh-CN"/>
        </w:rPr>
      </w:pP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一、课程基本信息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733"/>
        <w:gridCol w:w="13"/>
        <w:gridCol w:w="1967"/>
        <w:gridCol w:w="16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教师姓名</w:t>
            </w:r>
          </w:p>
        </w:tc>
        <w:tc>
          <w:tcPr>
            <w:tcW w:w="274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 w:firstLine="960" w:firstLineChars="40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冯艳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15953398949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课程名称：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出国旅游那些事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授课对象：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全院学生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课程代码：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300563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学分：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2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学时：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授课时间：201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-20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学年度第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学期，第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周至第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周，周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第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7、8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课程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所属模块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生活与美</w:t>
            </w:r>
          </w:p>
        </w:tc>
      </w:tr>
    </w:tbl>
    <w:p>
      <w:pPr>
        <w:spacing w:line="360" w:lineRule="auto"/>
        <w:rPr>
          <w:rFonts w:ascii="楷体_GB2312" w:hAnsi="宋体" w:eastAsia="楷体_GB2312"/>
          <w:bCs/>
          <w:sz w:val="24"/>
        </w:rPr>
      </w:pPr>
      <w:r>
        <w:rPr>
          <w:rFonts w:hint="eastAsia" w:ascii="楷体_GB2312" w:hAnsi="宋体" w:eastAsia="楷体_GB2312"/>
          <w:b/>
          <w:bCs/>
          <w:sz w:val="28"/>
        </w:rPr>
        <w:t>二、课程目标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79"/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通过本课程的学习，让学生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了解出国旅游的相关文化背景知识及跨文化交际等方面的知识；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让学生通过了解旅游目的国文化习俗、风土人情等，认识文化的差异性，在热爱中国文化的同时也尊重旅游目的国文化；让学生通过了解旅游目的国法律法规、机场安全须知、海关申报制度、退税要求、酒店服务指南、客房须知、文化禁忌、交通规则等，形成一种规范意识，自觉遵守相关法律规章制度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掌握出国旅游相关的英语词汇及常用句型；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使学生能运用本课程的技能和知识，用英语比较自如地解决出国旅行过程中遇到的常见问题,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并感受到英语交流的乐趣。</w:t>
      </w: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三、课程的知识和理论内容：</w:t>
      </w:r>
    </w:p>
    <w:p>
      <w:pPr>
        <w:spacing w:line="360" w:lineRule="auto"/>
        <w:ind w:left="178" w:leftChars="85" w:firstLine="361" w:firstLineChars="172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1.根据课程目标整合课程内容。</w:t>
      </w:r>
    </w:p>
    <w:p>
      <w:pPr>
        <w:spacing w:line="360" w:lineRule="auto"/>
        <w:ind w:left="178" w:leftChars="85" w:firstLine="361" w:firstLineChars="172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2.对课程内容要根据其内在的逻辑关系划分模块。</w:t>
      </w:r>
    </w:p>
    <w:tbl>
      <w:tblPr>
        <w:tblStyle w:val="6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2543"/>
        <w:gridCol w:w="467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序号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模块名称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主要内容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行前准备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制定旅游计划、护照签证、兑换货币、预订机票、预订酒店、预订当地观光团、变更及取消预订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出发和到达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办理登机手续、安全检查、航班的延误和取消、登机、找座位和换座位、机上服务、转机、通过海关检查、提取行李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旅游中的出行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出行方式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之乘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坐公交、乘坐地铁、乘出租车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旅行中的住宿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入住登记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安置行李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要求具体的客房服务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、结账退房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旅行中的饮食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寻找餐饮场所、预定座位、点菜、用餐、结账与打包、快餐店、咖啡馆及酒吧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6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旅行中的购物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购物事项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之选购商品、成交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付款、退税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7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观光游乐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观光咨询、购买门票、拍照、在动物园、在博物馆、在迪斯尼乐园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79"/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  <w:lang w:eastAsia="zh-CN"/>
        </w:rPr>
        <w:t>四、</w:t>
      </w:r>
      <w:r>
        <w:rPr>
          <w:rFonts w:hint="eastAsia" w:ascii="楷体_GB2312" w:hAnsi="宋体" w:eastAsia="楷体_GB2312"/>
          <w:b/>
          <w:bCs/>
          <w:sz w:val="28"/>
        </w:rPr>
        <w:t>课程进度表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“单元”是指一次课。每次课都要结构完整，都要进行“单元设计”。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692"/>
        <w:gridCol w:w="866"/>
        <w:gridCol w:w="1546"/>
        <w:gridCol w:w="2484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hAnsi="宋体" w:eastAsia="楷体_GB2312" w:cs="楷体_GB2312"/>
                <w:b/>
                <w:sz w:val="28"/>
                <w:szCs w:val="28"/>
                <w:lang w:val="en-US"/>
              </w:rPr>
            </w:pPr>
            <w:r>
              <w:rPr>
                <w:rFonts w:hint="eastAsia" w:ascii="楷体_GB2312" w:hAnsi="宋体" w:eastAsia="宋体" w:cs="宋体"/>
                <w:b/>
                <w:kern w:val="2"/>
                <w:sz w:val="28"/>
                <w:szCs w:val="28"/>
                <w:lang w:val="en-US" w:eastAsia="zh-CN" w:bidi="ar"/>
              </w:rPr>
              <w:t>单元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hAnsi="宋体" w:eastAsia="楷体_GB2312" w:cs="楷体_GB2312"/>
                <w:b/>
                <w:sz w:val="28"/>
                <w:szCs w:val="28"/>
                <w:lang w:val="en-US"/>
              </w:rPr>
            </w:pPr>
            <w:r>
              <w:rPr>
                <w:rFonts w:hint="eastAsia" w:ascii="楷体_GB2312" w:hAnsi="宋体" w:eastAsia="宋体" w:cs="宋体"/>
                <w:b/>
                <w:kern w:val="2"/>
                <w:sz w:val="28"/>
                <w:szCs w:val="28"/>
                <w:lang w:val="en-US" w:eastAsia="zh-CN" w:bidi="ar"/>
              </w:rPr>
              <w:t>周次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hAnsi="宋体" w:eastAsia="楷体_GB2312" w:cs="楷体_GB2312"/>
                <w:b/>
                <w:sz w:val="28"/>
                <w:szCs w:val="28"/>
                <w:lang w:val="en-US"/>
              </w:rPr>
            </w:pPr>
            <w:r>
              <w:rPr>
                <w:rFonts w:hint="eastAsia" w:ascii="楷体_GB2312" w:hAnsi="宋体" w:eastAsia="宋体" w:cs="宋体"/>
                <w:b/>
                <w:kern w:val="2"/>
                <w:sz w:val="28"/>
                <w:szCs w:val="28"/>
                <w:lang w:val="en-US" w:eastAsia="zh-CN" w:bidi="ar"/>
              </w:rPr>
              <w:t>学时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Times New Roman" w:eastAsia="楷体_GB2312" w:cs="楷体_GB2312"/>
                <w:b/>
                <w:sz w:val="28"/>
                <w:szCs w:val="28"/>
                <w:lang w:val="en-US"/>
              </w:rPr>
            </w:pPr>
            <w:r>
              <w:rPr>
                <w:rFonts w:hint="eastAsia" w:ascii="楷体_GB2312" w:hAnsi="Times New Roman" w:eastAsia="宋体" w:cs="宋体"/>
                <w:b/>
                <w:kern w:val="2"/>
                <w:sz w:val="28"/>
                <w:szCs w:val="28"/>
                <w:lang w:val="en-US" w:eastAsia="zh-CN" w:bidi="ar"/>
              </w:rPr>
              <w:t>单元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Times New Roman" w:eastAsia="楷体_GB2312" w:cs="楷体_GB2312"/>
                <w:b/>
                <w:sz w:val="28"/>
                <w:szCs w:val="28"/>
                <w:lang w:val="en-US"/>
              </w:rPr>
            </w:pPr>
            <w:r>
              <w:rPr>
                <w:rFonts w:hint="eastAsia" w:ascii="楷体_GB2312" w:hAnsi="Times New Roman" w:eastAsia="宋体" w:cs="宋体"/>
                <w:b/>
                <w:kern w:val="2"/>
                <w:sz w:val="28"/>
                <w:szCs w:val="28"/>
                <w:lang w:val="en-US" w:eastAsia="zh-CN" w:bidi="ar"/>
              </w:rPr>
              <w:t>标题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Times New Roman" w:eastAsia="楷体_GB2312" w:cs="楷体_GB2312"/>
                <w:b/>
                <w:sz w:val="28"/>
                <w:szCs w:val="28"/>
                <w:lang w:val="en-US"/>
              </w:rPr>
            </w:pPr>
            <w:r>
              <w:rPr>
                <w:rFonts w:hint="eastAsia" w:ascii="楷体_GB2312" w:hAnsi="Times New Roman" w:eastAsia="宋体" w:cs="宋体"/>
                <w:b/>
                <w:kern w:val="2"/>
                <w:sz w:val="28"/>
                <w:szCs w:val="28"/>
                <w:lang w:val="en-US" w:eastAsia="zh-CN" w:bidi="ar"/>
              </w:rPr>
              <w:t>教学目标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81" w:firstLineChars="100"/>
              <w:jc w:val="both"/>
              <w:rPr>
                <w:rFonts w:hint="eastAsia" w:ascii="楷体_GB2312" w:hAnsi="Times New Roman" w:eastAsia="宋体" w:cs="宋体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Times New Roman" w:eastAsia="宋体" w:cs="宋体"/>
                <w:b/>
                <w:kern w:val="2"/>
                <w:sz w:val="28"/>
                <w:szCs w:val="28"/>
                <w:lang w:val="en-US" w:eastAsia="zh-CN" w:bidi="ar"/>
              </w:rPr>
              <w:t>教学内容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b/>
                <w:sz w:val="28"/>
                <w:szCs w:val="28"/>
                <w:lang w:val="en-US"/>
              </w:rPr>
            </w:pPr>
            <w:r>
              <w:rPr>
                <w:rFonts w:hint="eastAsia" w:ascii="楷体_GB2312" w:hAnsi="Times New Roman" w:eastAsia="宋体" w:cs="宋体"/>
                <w:b/>
                <w:kern w:val="2"/>
                <w:sz w:val="28"/>
                <w:szCs w:val="28"/>
                <w:lang w:val="en-US" w:eastAsia="zh-CN" w:bidi="ar"/>
              </w:rPr>
              <w:t>（条目性的）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计划行程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1.掌握办理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护照签证、兑换货币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时的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相关文化背景知识；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2.掌握相关的英语表达。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1.护照签证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2.兑换货币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预订事宜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1.掌握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预订机票、预订酒店、、变更及取消预订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时的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相关文化背景知识；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2.掌握相关的英语表达。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1.预订机票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2.预订酒店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3.变更及取消预订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抵达机场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掌握办理登机手续、安检、航班延误及取消时的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相关文化背景知识；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2.掌握相关的英语表达。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1.办理登机手续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2.安检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3.航班延误及取消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登机起飞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1.掌握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登机、寻找更换座位、空乘服务时的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相关文化背景知识；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2.掌握相关的英语表达。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1.登机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2.寻找更换座位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3.空乘服务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中转及到达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1.掌握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过境与转机、入境通关和提取行李时的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相关文化背景知识；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2.掌握相关的英语表达。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1.过境与转机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2.入境通关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3.提取行李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出行方式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之乘坐公交车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掌握关于坐公交等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相关文化背景知识；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2.掌握相关的英语表达。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乘坐公交车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7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出行方式之乘坐地铁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掌握关于乘坐地铁等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相关文化背景知识；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2.掌握相关的英语表达。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乘坐地铁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8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出行方式之乘出租车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掌握关于乘出租车等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相关文化背景知识；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2.掌握相关的英语表达。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乘出租车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9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入住宾馆与结账退房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1.掌握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关于办理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"/>
              </w:rPr>
              <w:t>入住登记、安置行李、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要求具体的客房服务、投诉、准备退房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"/>
              </w:rPr>
              <w:t>时的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相关文化背景知识；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2.掌握相关的英语表达。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Arial" w:hAnsi="Arial" w:cs="Arial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1.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"/>
              </w:rPr>
              <w:t>入住登记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lang w:val="en-US" w:eastAsia="zh-CN" w:bidi="ar"/>
              </w:rPr>
              <w:t>2.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"/>
              </w:rPr>
              <w:t>安置行李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要求具体的客房服务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4.投诉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5.准备退房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10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搜罗美食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掌握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寻找餐饮场所、预定座位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时的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相关文化背景知识；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2.掌握相关的英语表达。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1.寻找餐饮场所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2.预定座位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11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饭店用餐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1.掌握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点菜用餐、结账与打包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时的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相关文化背景知识；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2.掌握相关的英语表达。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1.用餐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2.付账单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12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选购商品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1.掌握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关于</w:t>
            </w: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"/>
              </w:rPr>
              <w:t>选购商品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时的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相关文化背景知识；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2.掌握相关的英语表达。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选购商品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13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成交付款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1.掌握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成交付款时的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相关文化背景知识；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2.掌握相关的英语表达。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"/>
              </w:rPr>
              <w:t>成功付款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14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退税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1.掌握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关于</w:t>
            </w: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"/>
              </w:rPr>
              <w:t>退税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时的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相关文化背景知识；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2.掌握相关的英语表达。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"/>
              </w:rPr>
              <w:t>退税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15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游玩杂事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1.掌握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在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观光咨询、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"/>
              </w:rPr>
              <w:t>购买门票、拍照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时的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相关文化背景知识；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2.掌握相关的英语表达。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观光咨询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2.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"/>
              </w:rPr>
              <w:t>购买门票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lang w:val="en-US" w:eastAsia="zh-CN" w:bidi="ar"/>
              </w:rPr>
              <w:t>3.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"/>
              </w:rPr>
              <w:t>拍照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16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 w:cs="楷体_GB2312"/>
                <w:szCs w:val="21"/>
                <w:lang w:val="en-US"/>
              </w:rPr>
            </w:pPr>
            <w:r>
              <w:rPr>
                <w:rFonts w:hint="default" w:ascii="楷体_GB2312" w:hAnsi="宋体" w:eastAsia="楷体_GB2312" w:cs="楷体_GB2312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旅游项目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1.掌握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关于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"/>
              </w:rPr>
              <w:t>在动物园、</w:t>
            </w: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"/>
              </w:rPr>
              <w:t>在博物馆、在迪斯尼乐园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时的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相关文化背景知识；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"/>
              </w:rPr>
              <w:t>2.掌握相关的英语表达。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Arial" w:hAnsi="Arial" w:cs="Arial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"/>
              </w:rPr>
              <w:t>在动物园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lang w:val="en-US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"/>
              </w:rPr>
              <w:t>2.在博物馆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Times New Roman" w:eastAsia="楷体_GB2312" w:cs="楷体_GB2312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"/>
              </w:rPr>
              <w:t>3.在迪斯尼乐园</w:t>
            </w:r>
          </w:p>
        </w:tc>
      </w:tr>
    </w:tbl>
    <w:p>
      <w:pPr>
        <w:spacing w:line="360" w:lineRule="auto"/>
        <w:rPr>
          <w:rFonts w:hint="eastAsia" w:ascii="楷体_GB2312" w:hAnsi="宋体" w:eastAsia="楷体_GB2312"/>
          <w:b/>
          <w:bCs/>
          <w:sz w:val="28"/>
        </w:rPr>
      </w:pP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五、考核方案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 过程考核、结果（期末）考核或采用灵活多样的考核方式。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形成性评价与终结性评价相结合，定性与定量相结合，充分关注学生的个性差异，发挥考核的激励作用，增强学生的自信心和实践能力，平时考查与期末考试相结合，重视学生学习过程评价，将学生学习成绩分解，形成性评价占</w:t>
      </w:r>
      <w:r>
        <w:rPr>
          <w:rFonts w:hint="eastAsia" w:ascii="宋体" w:hAnsi="宋体" w:cs="Times New Roman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0%。平时成绩中融入案例分析、课堂讨论、课堂训练等内容，终结性评价占</w:t>
      </w:r>
      <w:r>
        <w:rPr>
          <w:rFonts w:hint="eastAsia" w:ascii="宋体" w:hAnsi="宋体" w:cs="Times New Roman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0%。</w:t>
      </w: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六、教学资源</w:t>
      </w:r>
      <w:r>
        <w:rPr>
          <w:rFonts w:hint="eastAsia" w:ascii="宋体" w:hAnsi="宋体"/>
          <w:szCs w:val="21"/>
        </w:rPr>
        <w:t>（指教材或讲义、参考资料、所需仪器、设备、网络学习资源等）</w:t>
      </w: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七、需要说明的其他问题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3A856E98"/>
    <w:rsid w:val="0001776C"/>
    <w:rsid w:val="001E4000"/>
    <w:rsid w:val="00241317"/>
    <w:rsid w:val="004C4B4D"/>
    <w:rsid w:val="005A4E0F"/>
    <w:rsid w:val="006F4EBD"/>
    <w:rsid w:val="00745707"/>
    <w:rsid w:val="00A65CB7"/>
    <w:rsid w:val="00A8410B"/>
    <w:rsid w:val="01C92373"/>
    <w:rsid w:val="04D946F8"/>
    <w:rsid w:val="05646B49"/>
    <w:rsid w:val="05B504E5"/>
    <w:rsid w:val="07844EBE"/>
    <w:rsid w:val="079C0CAE"/>
    <w:rsid w:val="07A42514"/>
    <w:rsid w:val="08D70E2D"/>
    <w:rsid w:val="08F76713"/>
    <w:rsid w:val="0A087990"/>
    <w:rsid w:val="0B5606BD"/>
    <w:rsid w:val="0B75024B"/>
    <w:rsid w:val="0B762C7B"/>
    <w:rsid w:val="0C256E64"/>
    <w:rsid w:val="0EC51648"/>
    <w:rsid w:val="0ED24184"/>
    <w:rsid w:val="0FFF3E62"/>
    <w:rsid w:val="1075120E"/>
    <w:rsid w:val="11E6152B"/>
    <w:rsid w:val="129102D0"/>
    <w:rsid w:val="12917EC8"/>
    <w:rsid w:val="14383822"/>
    <w:rsid w:val="149A3082"/>
    <w:rsid w:val="152353B1"/>
    <w:rsid w:val="15334DA7"/>
    <w:rsid w:val="15434BA3"/>
    <w:rsid w:val="15EE741B"/>
    <w:rsid w:val="162243E5"/>
    <w:rsid w:val="18BA73DF"/>
    <w:rsid w:val="19310778"/>
    <w:rsid w:val="1AE10049"/>
    <w:rsid w:val="1C2A40B6"/>
    <w:rsid w:val="1CD55669"/>
    <w:rsid w:val="1CDF49B4"/>
    <w:rsid w:val="1CEF0961"/>
    <w:rsid w:val="1DA80102"/>
    <w:rsid w:val="1DD74784"/>
    <w:rsid w:val="1E8E5F80"/>
    <w:rsid w:val="1EBB1EA9"/>
    <w:rsid w:val="201729A7"/>
    <w:rsid w:val="20A83039"/>
    <w:rsid w:val="20C10EE4"/>
    <w:rsid w:val="212F13AB"/>
    <w:rsid w:val="213D1E95"/>
    <w:rsid w:val="2141173D"/>
    <w:rsid w:val="21FF4F0D"/>
    <w:rsid w:val="221D3E69"/>
    <w:rsid w:val="22F56B06"/>
    <w:rsid w:val="22F704B3"/>
    <w:rsid w:val="24715BC8"/>
    <w:rsid w:val="248D749D"/>
    <w:rsid w:val="249B3DA9"/>
    <w:rsid w:val="2528519D"/>
    <w:rsid w:val="25A36D0B"/>
    <w:rsid w:val="27C50458"/>
    <w:rsid w:val="28797509"/>
    <w:rsid w:val="28930A97"/>
    <w:rsid w:val="294C76A6"/>
    <w:rsid w:val="296467EF"/>
    <w:rsid w:val="2A2C6F0A"/>
    <w:rsid w:val="2A4B4622"/>
    <w:rsid w:val="2ABA4AAD"/>
    <w:rsid w:val="2B2E7AF4"/>
    <w:rsid w:val="2BE2110A"/>
    <w:rsid w:val="2C2C06C2"/>
    <w:rsid w:val="2E0876F3"/>
    <w:rsid w:val="2E102561"/>
    <w:rsid w:val="30351538"/>
    <w:rsid w:val="30536390"/>
    <w:rsid w:val="31595743"/>
    <w:rsid w:val="32D40B14"/>
    <w:rsid w:val="32D675A7"/>
    <w:rsid w:val="33041DCE"/>
    <w:rsid w:val="33631495"/>
    <w:rsid w:val="337C58AD"/>
    <w:rsid w:val="353F0938"/>
    <w:rsid w:val="353F26EB"/>
    <w:rsid w:val="3638179A"/>
    <w:rsid w:val="36F54E1C"/>
    <w:rsid w:val="376F1888"/>
    <w:rsid w:val="382014B4"/>
    <w:rsid w:val="39C54084"/>
    <w:rsid w:val="3A4B480D"/>
    <w:rsid w:val="3A856E98"/>
    <w:rsid w:val="3A8974FC"/>
    <w:rsid w:val="3AC61639"/>
    <w:rsid w:val="3ADC33E8"/>
    <w:rsid w:val="3AE8372E"/>
    <w:rsid w:val="3C1717F8"/>
    <w:rsid w:val="3C60433D"/>
    <w:rsid w:val="3C626258"/>
    <w:rsid w:val="3E9A7879"/>
    <w:rsid w:val="407A688E"/>
    <w:rsid w:val="40951036"/>
    <w:rsid w:val="414F7AE0"/>
    <w:rsid w:val="41620847"/>
    <w:rsid w:val="439962A3"/>
    <w:rsid w:val="43A86859"/>
    <w:rsid w:val="43AA3249"/>
    <w:rsid w:val="44322B76"/>
    <w:rsid w:val="44890E6E"/>
    <w:rsid w:val="44894853"/>
    <w:rsid w:val="448E07D2"/>
    <w:rsid w:val="4513440B"/>
    <w:rsid w:val="46A6533E"/>
    <w:rsid w:val="46B45A53"/>
    <w:rsid w:val="471D3236"/>
    <w:rsid w:val="47265715"/>
    <w:rsid w:val="47DF7473"/>
    <w:rsid w:val="47FC0F61"/>
    <w:rsid w:val="489D5FD3"/>
    <w:rsid w:val="4A185491"/>
    <w:rsid w:val="4A193850"/>
    <w:rsid w:val="4A4C5467"/>
    <w:rsid w:val="4D452BCC"/>
    <w:rsid w:val="4DC30BAB"/>
    <w:rsid w:val="4F5C0DD4"/>
    <w:rsid w:val="50797F69"/>
    <w:rsid w:val="52DE6BFE"/>
    <w:rsid w:val="52ED3DD3"/>
    <w:rsid w:val="5323536F"/>
    <w:rsid w:val="533778CE"/>
    <w:rsid w:val="538144E0"/>
    <w:rsid w:val="53D72194"/>
    <w:rsid w:val="55003F38"/>
    <w:rsid w:val="553F5F46"/>
    <w:rsid w:val="562537C5"/>
    <w:rsid w:val="564239C8"/>
    <w:rsid w:val="567746BA"/>
    <w:rsid w:val="573B254B"/>
    <w:rsid w:val="580354A2"/>
    <w:rsid w:val="58D84758"/>
    <w:rsid w:val="59507630"/>
    <w:rsid w:val="59863047"/>
    <w:rsid w:val="5A13747D"/>
    <w:rsid w:val="5AB16E14"/>
    <w:rsid w:val="5AD22C8A"/>
    <w:rsid w:val="5AD53E3E"/>
    <w:rsid w:val="5B53102C"/>
    <w:rsid w:val="5B607972"/>
    <w:rsid w:val="5B703FD0"/>
    <w:rsid w:val="5D823447"/>
    <w:rsid w:val="5E3C36B4"/>
    <w:rsid w:val="5E4B4BB7"/>
    <w:rsid w:val="609527CD"/>
    <w:rsid w:val="60970C4B"/>
    <w:rsid w:val="60E05E1B"/>
    <w:rsid w:val="6175278D"/>
    <w:rsid w:val="61BD1197"/>
    <w:rsid w:val="629C499C"/>
    <w:rsid w:val="630A5827"/>
    <w:rsid w:val="63E1693D"/>
    <w:rsid w:val="645A1911"/>
    <w:rsid w:val="65C656FE"/>
    <w:rsid w:val="67E878A0"/>
    <w:rsid w:val="68157455"/>
    <w:rsid w:val="681F04C0"/>
    <w:rsid w:val="68973DF8"/>
    <w:rsid w:val="698B1994"/>
    <w:rsid w:val="69D1308A"/>
    <w:rsid w:val="6A031AA9"/>
    <w:rsid w:val="6A11447E"/>
    <w:rsid w:val="6A717BD4"/>
    <w:rsid w:val="6BB40766"/>
    <w:rsid w:val="6BBF1DA5"/>
    <w:rsid w:val="6C756A7E"/>
    <w:rsid w:val="6C8F65AB"/>
    <w:rsid w:val="6CEB50E4"/>
    <w:rsid w:val="711D1F1C"/>
    <w:rsid w:val="72067D5F"/>
    <w:rsid w:val="72A36BD1"/>
    <w:rsid w:val="72FB47B1"/>
    <w:rsid w:val="73073F54"/>
    <w:rsid w:val="73743CB2"/>
    <w:rsid w:val="73DE286E"/>
    <w:rsid w:val="744E2D1D"/>
    <w:rsid w:val="74E2513D"/>
    <w:rsid w:val="75D34E6D"/>
    <w:rsid w:val="7633332B"/>
    <w:rsid w:val="76A35B79"/>
    <w:rsid w:val="76CA0640"/>
    <w:rsid w:val="77777E62"/>
    <w:rsid w:val="778C6CA3"/>
    <w:rsid w:val="7A1251AE"/>
    <w:rsid w:val="7D9A03C6"/>
    <w:rsid w:val="7E282E1D"/>
    <w:rsid w:val="7F9A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font41"/>
    <w:basedOn w:val="4"/>
    <w:qFormat/>
    <w:uiPriority w:val="0"/>
    <w:rPr>
      <w:rFonts w:hint="default" w:ascii="楷体_GB2312" w:eastAsia="楷体_GB2312" w:cs="楷体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A6E35-911D-4033-ABCE-1CD0729E12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193</Words>
  <Characters>1106</Characters>
  <Lines>9</Lines>
  <Paragraphs>2</Paragraphs>
  <TotalTime>4</TotalTime>
  <ScaleCrop>false</ScaleCrop>
  <LinksUpToDate>false</LinksUpToDate>
  <CharactersWithSpaces>1297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2017-03-22T07:19:00Z</dcterms:created>
  <dc:creator>trggkxb</dc:creator>
  <cp:lastModifiedBy>阳光</cp:lastModifiedBy>
  <cp:lastPrinted>2017-10-10T08:39:00Z</cp:lastPrinted>
  <dcterms:modified xsi:type="dcterms:W3CDTF">2020-03-10T15:26:53Z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