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人文与旅游学院课程授课计划表</w:t>
      </w:r>
    </w:p>
    <w:p>
      <w:pPr>
        <w:jc w:val="both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28"/>
          <w:szCs w:val="28"/>
        </w:rPr>
        <w:t>课程整体设计</w:t>
      </w:r>
    </w:p>
    <w:tbl>
      <w:tblPr>
        <w:tblStyle w:val="2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00"/>
        <w:gridCol w:w="2293"/>
        <w:gridCol w:w="1160"/>
        <w:gridCol w:w="2779"/>
        <w:gridCol w:w="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会展策划实务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任课教师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律丽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18酒店管理2、3、4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学时学分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/>
                <w:szCs w:val="21"/>
              </w:rPr>
              <w:t xml:space="preserve">学时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   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先修课程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酒店管理概述、酒店人力资源管理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后修课程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校外实训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课程目标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能力目标：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培养学生熟悉掌握与运用会展策划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流程及酒店行业相关策划活动组织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；</w:t>
            </w:r>
          </w:p>
          <w:p>
            <w:pPr>
              <w:spacing w:line="240" w:lineRule="exact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2．培养学生将会展策划的核心内容与流程应用于会展实践中。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知识目标：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掌握会展策划的基本内容与程序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明确不同活动的策划要素和技巧</w:t>
            </w:r>
          </w:p>
          <w:p>
            <w:pPr>
              <w:spacing w:line="240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3了解展览会和会议中相关活动策划的作用和原则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素质目标：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1培养学生在创意中开发思维创新的能力</w:t>
            </w:r>
          </w:p>
          <w:p>
            <w:pPr>
              <w:spacing w:line="240" w:lineRule="exact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2培养学生团队合作及沟通能力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课程内容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学习单元（学习情境或项目）名称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会展策划基本知识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会展市场调研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酒店会展主题策划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展览项目策划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酒店会议策划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酒店各种活动策划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6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酒店会展评估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教学材料</w:t>
            </w:r>
          </w:p>
        </w:tc>
        <w:tc>
          <w:tcPr>
            <w:tcW w:w="7867" w:type="dxa"/>
            <w:gridSpan w:val="5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（指教材或讲义、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在线课程、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参考资料、仪器、设备、教学软件等）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会展策划实务》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李红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中国人民大学出版社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校内平台+网络腾讯直播+qq群作业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织形式</w:t>
            </w:r>
          </w:p>
        </w:tc>
        <w:tc>
          <w:tcPr>
            <w:tcW w:w="7867" w:type="dxa"/>
            <w:gridSpan w:val="5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说明采用什么教学方式，使用什么直播平台和在线教学平台，注明在线课程网址、课程QQ或微信群等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在线直播教学，校内平台+腾讯会议+班级QQ群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考核方案</w:t>
            </w:r>
          </w:p>
        </w:tc>
        <w:tc>
          <w:tcPr>
            <w:tcW w:w="7867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各组汇报策划方案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二、课程</w:t>
      </w:r>
      <w:r>
        <w:rPr>
          <w:rFonts w:hint="eastAsia" w:ascii="黑体" w:hAnsi="黑体" w:eastAsia="黑体" w:cs="黑体"/>
          <w:b/>
          <w:sz w:val="28"/>
          <w:szCs w:val="28"/>
        </w:rPr>
        <w:t>教学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实施计划</w:t>
      </w:r>
    </w:p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20"/>
        <w:gridCol w:w="1156"/>
        <w:gridCol w:w="1272"/>
        <w:gridCol w:w="4214"/>
        <w:gridCol w:w="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周次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节次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单元名称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教学方式</w:t>
            </w:r>
          </w:p>
        </w:tc>
        <w:tc>
          <w:tcPr>
            <w:tcW w:w="247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主要教学内容</w:t>
            </w:r>
          </w:p>
        </w:tc>
        <w:tc>
          <w:tcPr>
            <w:tcW w:w="39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单元一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会展策划基本知识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2473" w:type="pct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课程规划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策划与会展策划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会展策划内容</w:t>
            </w:r>
          </w:p>
        </w:tc>
        <w:tc>
          <w:tcPr>
            <w:tcW w:w="396" w:type="pct"/>
          </w:tcPr>
          <w:p>
            <w:pPr>
              <w:spacing w:line="30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单元二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会展市场调研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2473" w:type="pct"/>
            <w:vAlign w:val="center"/>
          </w:tcPr>
          <w:p>
            <w:pPr>
              <w:numPr>
                <w:ilvl w:val="0"/>
                <w:numId w:val="2"/>
              </w:num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会展市场调研内容</w:t>
            </w:r>
          </w:p>
          <w:p>
            <w:pPr>
              <w:numPr>
                <w:ilvl w:val="0"/>
                <w:numId w:val="2"/>
              </w:numPr>
              <w:spacing w:line="30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会展市场调研方法与途径</w:t>
            </w: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单元二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会展市场调研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2473" w:type="pct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</w:tabs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会展市场调研方案的设计与组织</w:t>
            </w:r>
          </w:p>
          <w:p>
            <w:pPr>
              <w:numPr>
                <w:ilvl w:val="0"/>
                <w:numId w:val="3"/>
              </w:numPr>
              <w:tabs>
                <w:tab w:val="left" w:pos="0"/>
              </w:tabs>
              <w:spacing w:line="30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成果展示</w:t>
            </w: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单元二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会展市场调研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2473" w:type="pct"/>
            <w:vAlign w:val="center"/>
          </w:tcPr>
          <w:p>
            <w:pPr>
              <w:numPr>
                <w:ilvl w:val="0"/>
                <w:numId w:val="4"/>
              </w:num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会展项目的可行性分析</w:t>
            </w:r>
          </w:p>
          <w:p>
            <w:pPr>
              <w:numPr>
                <w:ilvl w:val="0"/>
                <w:numId w:val="4"/>
              </w:num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案例分享</w:t>
            </w: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单元三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酒店会展主题策划</w:t>
            </w:r>
          </w:p>
        </w:tc>
        <w:tc>
          <w:tcPr>
            <w:tcW w:w="74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2473" w:type="pct"/>
            <w:vAlign w:val="center"/>
          </w:tcPr>
          <w:p>
            <w:pPr>
              <w:numPr>
                <w:ilvl w:val="0"/>
                <w:numId w:val="5"/>
              </w:num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会展目标的确认</w:t>
            </w:r>
          </w:p>
          <w:p>
            <w:pPr>
              <w:numPr>
                <w:ilvl w:val="0"/>
                <w:numId w:val="5"/>
              </w:num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酒店会展主题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="1155" w:leftChars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三、市场会展的展览方法</w:t>
            </w:r>
          </w:p>
          <w:p>
            <w:pPr>
              <w:numPr>
                <w:ilvl w:val="0"/>
                <w:numId w:val="5"/>
              </w:num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酒店会展主题策划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4214" w:type="dxa"/>
            <w:vAlign w:val="center"/>
          </w:tcPr>
          <w:p>
            <w:pPr>
              <w:numPr>
                <w:ilvl w:val="0"/>
                <w:numId w:val="6"/>
              </w:numPr>
              <w:spacing w:line="300" w:lineRule="auto"/>
              <w:ind w:left="1155" w:leftChars="0" w:firstLine="0" w:firstLineChars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酒店会会展主题的确定</w:t>
            </w:r>
          </w:p>
          <w:p>
            <w:pPr>
              <w:numPr>
                <w:ilvl w:val="0"/>
                <w:numId w:val="6"/>
              </w:numPr>
              <w:spacing w:line="300" w:lineRule="auto"/>
              <w:ind w:left="1155" w:leftChars="0" w:firstLine="0" w:firstLineChars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酒店不同时间会展主题的选择展常采用方法</w:t>
            </w:r>
          </w:p>
          <w:p>
            <w:pPr>
              <w:numPr>
                <w:ilvl w:val="0"/>
                <w:numId w:val="6"/>
              </w:numPr>
              <w:spacing w:line="300" w:lineRule="auto"/>
              <w:ind w:left="1155" w:leftChars="0" w:firstLine="0" w:firstLineChars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单元四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展览项目策划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4214" w:type="dxa"/>
            <w:vAlign w:val="center"/>
          </w:tcPr>
          <w:p>
            <w:pPr>
              <w:numPr>
                <w:ilvl w:val="0"/>
                <w:numId w:val="7"/>
              </w:numPr>
              <w:spacing w:line="300" w:lineRule="auto"/>
              <w:ind w:left="1155" w:leftChars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展览会基本要素</w:t>
            </w:r>
          </w:p>
          <w:p>
            <w:pPr>
              <w:numPr>
                <w:ilvl w:val="0"/>
                <w:numId w:val="7"/>
              </w:numPr>
              <w:spacing w:line="300" w:lineRule="auto"/>
              <w:ind w:left="1155" w:leftChars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展览会招展策划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单元四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展览项目策划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4214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ind w:firstLine="840" w:firstLineChars="4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展览会招商策划和宣传推广</w:t>
            </w: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单元五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酒店会议策划</w:t>
            </w:r>
          </w:p>
        </w:tc>
        <w:tc>
          <w:tcPr>
            <w:tcW w:w="74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</w:t>
            </w:r>
          </w:p>
        </w:tc>
        <w:tc>
          <w:tcPr>
            <w:tcW w:w="2473" w:type="pct"/>
            <w:vAlign w:val="center"/>
          </w:tcPr>
          <w:p>
            <w:pPr>
              <w:numPr>
                <w:ilvl w:val="0"/>
                <w:numId w:val="8"/>
              </w:numPr>
              <w:spacing w:line="300" w:lineRule="auto"/>
              <w:ind w:left="0" w:leftChars="0" w:firstLine="840" w:firstLineChars="4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酒店会议策划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二、酒店会议策划组织与实施</w:t>
            </w: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3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" w:type="pct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单元六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酒店各种活动策划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4214" w:type="dxa"/>
            <w:vAlign w:val="center"/>
          </w:tcPr>
          <w:p>
            <w:pPr>
              <w:numPr>
                <w:ilvl w:val="0"/>
                <w:numId w:val="8"/>
              </w:numPr>
              <w:spacing w:line="300" w:lineRule="auto"/>
              <w:ind w:left="0" w:leftChars="0" w:firstLine="840" w:firstLineChars="4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酒店活动策划</w:t>
            </w:r>
          </w:p>
          <w:p>
            <w:pPr>
              <w:numPr>
                <w:ilvl w:val="0"/>
                <w:numId w:val="8"/>
              </w:numPr>
              <w:spacing w:line="300" w:lineRule="auto"/>
              <w:ind w:left="0" w:leftChars="0" w:firstLine="840" w:firstLineChars="4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酒店活动策划组织与实施</w:t>
            </w: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单元四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会展评估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网络直播：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腾讯会议、校内平台、B班级QQ群</w:t>
            </w:r>
          </w:p>
        </w:tc>
        <w:tc>
          <w:tcPr>
            <w:tcW w:w="4214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ind w:left="0" w:leftChars="0" w:firstLine="840" w:firstLineChars="400"/>
              <w:jc w:val="both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一、会展评估</w:t>
            </w: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341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36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3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考试</w:t>
            </w:r>
          </w:p>
        </w:tc>
        <w:tc>
          <w:tcPr>
            <w:tcW w:w="675" w:type="dxa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校内平台上传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DC04C"/>
    <w:multiLevelType w:val="singleLevel"/>
    <w:tmpl w:val="9AEDC0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3FB249"/>
    <w:multiLevelType w:val="singleLevel"/>
    <w:tmpl w:val="A43FB2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20DF1D0"/>
    <w:multiLevelType w:val="singleLevel"/>
    <w:tmpl w:val="C20DF1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917FED8"/>
    <w:multiLevelType w:val="singleLevel"/>
    <w:tmpl w:val="D917FE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2855BDD"/>
    <w:multiLevelType w:val="singleLevel"/>
    <w:tmpl w:val="E2855B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B59DF33"/>
    <w:multiLevelType w:val="singleLevel"/>
    <w:tmpl w:val="FB59DF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32EE356"/>
    <w:multiLevelType w:val="singleLevel"/>
    <w:tmpl w:val="432EE3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38378BF"/>
    <w:multiLevelType w:val="singleLevel"/>
    <w:tmpl w:val="438378BF"/>
    <w:lvl w:ilvl="0" w:tentative="0">
      <w:start w:val="1"/>
      <w:numFmt w:val="chineseCounting"/>
      <w:suff w:val="nothing"/>
      <w:lvlText w:val="%1、"/>
      <w:lvlJc w:val="left"/>
      <w:pPr>
        <w:ind w:left="1155" w:leftChars="0" w:firstLine="0" w:firstLineChars="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3589"/>
    <w:rsid w:val="08B230C0"/>
    <w:rsid w:val="0C461FA0"/>
    <w:rsid w:val="0EA02351"/>
    <w:rsid w:val="21523F47"/>
    <w:rsid w:val="269B406E"/>
    <w:rsid w:val="328171E5"/>
    <w:rsid w:val="390B3589"/>
    <w:rsid w:val="3F7905CD"/>
    <w:rsid w:val="40A67D2D"/>
    <w:rsid w:val="48825391"/>
    <w:rsid w:val="50320490"/>
    <w:rsid w:val="5036770C"/>
    <w:rsid w:val="5CB728A9"/>
    <w:rsid w:val="60FB0E21"/>
    <w:rsid w:val="635E3B2C"/>
    <w:rsid w:val="669E3B30"/>
    <w:rsid w:val="77C31D1C"/>
    <w:rsid w:val="78CB4C45"/>
    <w:rsid w:val="7B4B4528"/>
    <w:rsid w:val="7B7105D3"/>
    <w:rsid w:val="7D977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2020-02-28T01:17:00Z</dcterms:created>
  <dc:creator>阳光明媚</dc:creator>
  <cp:lastModifiedBy>cherry8180</cp:lastModifiedBy>
  <dcterms:modified xsi:type="dcterms:W3CDTF">2020-02-29T01:36:09Z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