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val="en-US" w:eastAsia="zh-CN"/>
        </w:rPr>
        <w:t>.下列费用中属于安全文明施工费的是(　)。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A.脚手架费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B.临时设施费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C.二次搬运费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D.非夜间施工照明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val="en-US" w:eastAsia="zh-CN"/>
        </w:rPr>
        <w:t>.根据我国现行建设项目总投资及工程造价的构成，下列有关建设项目费用开支，应列入建设单位官理费的是(　)。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A.监理费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B.竣工验收费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C.可行性研究费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　　D.节能评估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>（18年造价师考题）根据现行建筑安装工程费用项目组成，下列费用项目属于按造价形成划分的是：（    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A.人工费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B.企业管理费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C.利润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D.税金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.我国现行建筑安装工程费用项目组成中，支付给生产工人的住房公积金应计入（    ）（12年）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A.生产工人工资性补贴       B. 规费     C.社会保障费     D.生产工人辅助工资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D0AD8"/>
    <w:rsid w:val="034D0AD8"/>
    <w:rsid w:val="29C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2020-03-05T03:53:00Z</dcterms:created>
  <dc:creator>米蒙</dc:creator>
  <cp:lastModifiedBy>米蒙</cp:lastModifiedBy>
  <dcterms:modified xsi:type="dcterms:W3CDTF">2020-03-05T04:05:11Z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