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val="en-US" w:eastAsia="zh-CN"/>
        </w:rPr>
        <w:t>.编制预算定额人工日消耗量时，实际工程现场运距超过预算定额取定运距时的用工应计入(　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　　A.超运距用工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　　B.辅助用工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　　C.二次搬运工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　　D.人工幅度差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.（18年一级造价师计价真题）已知某人抹灰10m2的基本工作时间为4小时，辅助工作时间占工序作业时间的5%，准备与结束工作时间、不可避免的中断时间、休息时间占工作日的6%、11%、3%。则该人工抹灰的时间定额为（     ）工日/100M2.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A.6.3      B.6.56    C.6.58     D.6.67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.（18一级造价师考题）编制某分享工程预算定额人工工日消耗量时，已知基本用工，辅助用工、超 运距用工分别为 20 工日、2 工日、3 工日，人工幅度差系数为 10%，则该分项工程单位人工工日消耗量为()工日。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A. 27.0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B. 27.2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C. 27.3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D. 27.5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.（一级造价师考题）关于预算定额消耗量的确定方法，下列表述正确的是()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A.人工工日消耗量由基本用工量和辅助用工量组成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B.材料消耗量=材料净用量/1-损耗率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C.机械幅度差包括了正常施工条件下，施工中不可避免的工序间歇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D.机械台班消耗量=施工定额机械台班消耗量/1-机械幅度差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587024"/>
    <w:rsid w:val="490E1410"/>
    <w:rsid w:val="52587024"/>
    <w:rsid w:val="7D92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2020-02-27T12:59:00Z</dcterms:created>
  <dc:creator>米蒙</dc:creator>
  <cp:lastModifiedBy>米蒙</cp:lastModifiedBy>
  <dcterms:modified xsi:type="dcterms:W3CDTF">2020-02-27T13:22:17Z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