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授课时间： 第一周                                                  </w:t>
      </w:r>
      <w:r>
        <w:rPr>
          <w:rFonts w:hint="eastAsia" w:ascii="黑体" w:hAnsi="黑体" w:eastAsia="黑体" w:cs="黑体"/>
          <w:sz w:val="21"/>
          <w:szCs w:val="21"/>
        </w:rPr>
        <w:t>教案编号：3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 w:val="21"/>
          <w:szCs w:val="21"/>
        </w:rPr>
        <w:t>-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tbl>
      <w:tblPr>
        <w:tblStyle w:val="8"/>
        <w:tblW w:w="8273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85"/>
        <w:gridCol w:w="1637"/>
        <w:gridCol w:w="1356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授课题目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2经济法基础认知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2-1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确立法律关系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授课班级</w:t>
            </w:r>
          </w:p>
        </w:tc>
        <w:tc>
          <w:tcPr>
            <w:tcW w:w="2822" w:type="dxa"/>
            <w:gridSpan w:val="2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授课学时</w:t>
            </w:r>
          </w:p>
        </w:tc>
        <w:tc>
          <w:tcPr>
            <w:tcW w:w="2784" w:type="dxa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授课地点</w:t>
            </w:r>
          </w:p>
        </w:tc>
        <w:tc>
          <w:tcPr>
            <w:tcW w:w="2822" w:type="dxa"/>
            <w:gridSpan w:val="2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6" w:type="dxa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授课方式</w:t>
            </w:r>
          </w:p>
        </w:tc>
        <w:tc>
          <w:tcPr>
            <w:tcW w:w="2784" w:type="dxa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一体化教学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11" w:type="dxa"/>
            <w:vMerge w:val="restart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教学目标</w:t>
            </w:r>
          </w:p>
        </w:tc>
        <w:tc>
          <w:tcPr>
            <w:tcW w:w="1185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知识目标</w:t>
            </w:r>
          </w:p>
        </w:tc>
        <w:tc>
          <w:tcPr>
            <w:tcW w:w="5777" w:type="dxa"/>
            <w:gridSpan w:val="3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掌握法律关系及其构成、法律事实的后果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311" w:type="dxa"/>
            <w:vMerge w:val="continue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能力目标</w:t>
            </w:r>
          </w:p>
        </w:tc>
        <w:tc>
          <w:tcPr>
            <w:tcW w:w="5777" w:type="dxa"/>
            <w:gridSpan w:val="3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掌握掌握法的一般理论，为学习具体的法律制度奠定基础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0" w:hRule="atLeast"/>
        </w:trPr>
        <w:tc>
          <w:tcPr>
            <w:tcW w:w="1311" w:type="dxa"/>
            <w:vMerge w:val="continue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素质目标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77" w:type="dxa"/>
            <w:gridSpan w:val="3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养成积极主动学习意识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养成良好的团队合作精神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养成动手操作的的习惯。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11" w:type="dxa"/>
            <w:vMerge w:val="restart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任务列表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指出案例当中经济法律关系的构成要素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11" w:type="dxa"/>
            <w:vMerge w:val="continue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发生、变更和终止经济法律关系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教学重点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经济法律关系的构成要素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教学难点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发生、变更和终止经济法律关系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学情分析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学习基础：学生先修过《思想道德修养和法律基础》、《纳税实务》等课程，对法律形成了初步的了解通过上一次的课后作业，已经预习本节课的内容。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教学方法与手段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任务驱动法、启发式教学法、小组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教学法、翻转课堂学习法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教学手段及教具准备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教学课件、日照职业技术学院慕课学习平台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授课教材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北京理工大学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出版社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经济法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2016年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311" w:type="dxa"/>
            <w:tcBorders>
              <w:right w:val="single" w:color="auto" w:sz="2" w:space="0"/>
            </w:tcBorders>
            <w:shd w:val="clear" w:color="auto" w:fill="CCCCCC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参考资料</w:t>
            </w:r>
          </w:p>
        </w:tc>
        <w:tc>
          <w:tcPr>
            <w:tcW w:w="6962" w:type="dxa"/>
            <w:gridSpan w:val="4"/>
            <w:tcBorders>
              <w:left w:val="single" w:color="auto" w:sz="2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卓泽渊，法理学法律出版社，2009。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魏振瀛，民法，北京大学出版社，高等教育出版社，2012。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王利明，房绍坤，王轶，合同法，中国人民大学出版社，2013。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中国教育在线：http: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HYPERLINK "http://www.cchve.com.cn"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//www.eol.cn/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高等职业育学习资源网：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HYPERLINK "http://hve.hep.com.cn/" 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http://hve.hep.com.cn/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大家学习论坛 ：http://club.topsage.com/forum-16-1.html  </w:t>
            </w:r>
          </w:p>
        </w:tc>
      </w:tr>
    </w:tbl>
    <w:p>
      <w:pPr>
        <w:spacing w:line="240" w:lineRule="atLeast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240" w:lineRule="atLeast"/>
        <w:jc w:val="center"/>
      </w:pPr>
      <w:r>
        <w:rPr>
          <w:rFonts w:hint="eastAsia" w:ascii="黑体" w:hAnsi="黑体" w:eastAsia="黑体" w:cs="黑体"/>
          <w:sz w:val="28"/>
          <w:szCs w:val="28"/>
        </w:rPr>
        <w:t>教学思路及流程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1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课前准备</w:t>
            </w:r>
          </w:p>
        </w:tc>
        <w:tc>
          <w:tcPr>
            <w:tcW w:w="6911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1.安排导学任务，给予学生学习内容、学习目标、学习方法和要点指导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2.设计难度适中的课前任务并给学生提供课前任务的实时帮助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3.根据班级特点和学习基础，调整教学重难点及方法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611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课上实施</w:t>
            </w:r>
          </w:p>
        </w:tc>
        <w:tc>
          <w:tcPr>
            <w:tcW w:w="6911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课堂任务：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1.上次课课后作业点评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2.课前任务检查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3.给出情境引入任务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4.学生独立完成任务，发现并提出问题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5.教师点评任务，讲解必备的理论知识和技能方法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6.学生重复完成任务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7.反思总结，完成考评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教师：引领学生对学习内容进行知识归纳或方法梳理完成本次任务考评。学生：在教师指导下进行知识归纳或方法梳理组内评价、小组互评。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课后任务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1611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课后作业</w:t>
            </w:r>
          </w:p>
        </w:tc>
        <w:tc>
          <w:tcPr>
            <w:tcW w:w="6911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1.完成教材当中的课后习题，复习本节课所学内容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2.利用教材以及教师推荐的资源，预习下节课内容，并完成导学任务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026"/>
        <w:gridCol w:w="2399"/>
        <w:gridCol w:w="159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4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</w:tc>
        <w:tc>
          <w:tcPr>
            <w:tcW w:w="3026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教师活动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</w:tc>
        <w:tc>
          <w:tcPr>
            <w:tcW w:w="1596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方式手段</w:t>
            </w:r>
          </w:p>
        </w:tc>
        <w:tc>
          <w:tcPr>
            <w:tcW w:w="1007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4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第一部分：课前准备</w:t>
            </w:r>
          </w:p>
        </w:tc>
        <w:tc>
          <w:tcPr>
            <w:tcW w:w="302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qq群，微信群等多媒体手段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以下任务：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检查学生上节课课后习题的完成情况，并总结共性问题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2.检查学生本节课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导学任务的完成情况，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并总结共性问题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3.根据班级特点和学习基础，调整教学重难点及方法。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完成教师课前布置任务：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完成课后习题，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2.利用教材以及教师推荐的资源，预习本节课内容并完成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导学任务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3.与其他同学交流讨论复习预习过程的问题，并向教师提出问题</w:t>
            </w:r>
          </w:p>
        </w:tc>
        <w:tc>
          <w:tcPr>
            <w:tcW w:w="159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学生利用教材的课后习题进行复习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2.利用教材以及教师推荐的资源，预习本节课内容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qq群，微信群等多媒体手段进行交流讨论</w:t>
            </w:r>
          </w:p>
        </w:tc>
        <w:tc>
          <w:tcPr>
            <w:tcW w:w="1007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为翻转课堂的实施奠定基础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494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第二部分：课上实施</w:t>
            </w:r>
          </w:p>
        </w:tc>
        <w:tc>
          <w:tcPr>
            <w:tcW w:w="302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第一步: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课前问题反馈（10分钟）1.对课后习题中的完成情况进行点评，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解答共性问题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2.点评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导学任务的完成情况，指出共性问题，并挺问学生相关问题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听取教师点评、答疑，可以进一步提出疑问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回答教师提问</w:t>
            </w:r>
          </w:p>
        </w:tc>
        <w:tc>
          <w:tcPr>
            <w:tcW w:w="159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学习效果检查及学习信息反馈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:情景导入、布置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1.新天地食品有限公司从某粮油公司购入面粉10吨为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案例，引入本单元任务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2.发放任务书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通过教师解说、小组讨论，熟悉任务情境，明晰本单元任务目标，为任务的进一步实施奠定基础。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通过熟悉的明星，将抽象业务 具体化，增强学生学习兴趣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任务实施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教师对学生实施的任务提供方向性引导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收集学生普通存在的问题，并根据问题适时调整教学重难点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为学生提供适时的辅助指导和及时帮助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监督整个教室讨论、交流、查找教学资料的情况，必要时给予适当辅助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学生借助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教材学习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代理制度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的基础知识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分组讨论，群策群力解决疑难问题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对于仍存在疑惑的问题，学生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可以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请教教师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4.学生通过资料查找等方式获取的信息，完成教师给定的任务。</w:t>
            </w:r>
          </w:p>
        </w:tc>
        <w:tc>
          <w:tcPr>
            <w:tcW w:w="159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ppt、视频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教师辅助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引导下完成任务，通过任务实施掌握本节课的相关知识点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494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:小组汇报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听取学生汇报，掌握学生在完成任务的过程中遇到的疑难问题，为知识点的讲解做好准备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2.针对小组汇报情况提出问题，引导学生进行思考。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9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小组分组展示任务成果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2.思考并回答教师提出的问题，未重复任务做好准备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1007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小组展示结果的过程也是小组任务实施思路的体现过程，为学生相互学习提供平台，以为教师发现普遍存在问题提供契机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点评任务、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共性问题、讲解本节课知识点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1.点评任务，指出学生在完成的任务的过程中的问题，并进行解答，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引导学生注意学习过程中的重点和难点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2.讲解本节课的理论知识和完成任务的技能方法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认真听讲、积极思考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在教师的引导下，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发现并纠正在完成任务过程的错误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根据教师提问，结合前期的资料准备，进行回答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通过原理解析和图片强化对教师提问的理解。</w:t>
            </w: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ppt课件</w:t>
            </w:r>
          </w:p>
        </w:tc>
        <w:tc>
          <w:tcPr>
            <w:tcW w:w="1007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强化对本节课知识点的理解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：重复任务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（15分钟）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引入情景二：日照曙光有限公司到人才市场招聘员工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情景二当中的任务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课件</w:t>
            </w:r>
          </w:p>
        </w:tc>
        <w:tc>
          <w:tcPr>
            <w:tcW w:w="1007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任务重复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，强化学生对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经济法律关系制度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的理解和处理技能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94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总结评价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教师针对学生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完成情景二中的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任务质量以及小组总结情况进行过程性考核，并将其计入综合测评的一部分。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2.总结本次课程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1.取教师反馈和总结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2.针对教师的反馈可以进一步提出疑问，在课后复习过程通过与教师和同学的讨论交流解决疑难问题</w:t>
            </w:r>
          </w:p>
        </w:tc>
        <w:tc>
          <w:tcPr>
            <w:tcW w:w="159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ppt课件</w:t>
            </w:r>
          </w:p>
        </w:tc>
        <w:tc>
          <w:tcPr>
            <w:tcW w:w="1007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实时进行过程性考核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94" w:type="dxa"/>
            <w:tcBorders>
              <w:left w:val="single" w:color="auto" w:sz="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第三部分：课下作业</w:t>
            </w:r>
          </w:p>
        </w:tc>
        <w:tc>
          <w:tcPr>
            <w:tcW w:w="302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第一步：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布置课下作业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1.安排学生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完成教材课后习题，巩固本节课所学内容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2.向学生推荐相关资源，方便学生完成下节课的预习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步：讨论交流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通过班级qq群，微信群等多媒体手段，进行交流沟通，为学生解答在复习和预习过程中遇到的问题，为下节课的学习做好知识储备</w:t>
            </w:r>
          </w:p>
        </w:tc>
        <w:tc>
          <w:tcPr>
            <w:tcW w:w="2399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学生完成教材的课后习题，复习本节课所学内容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预习下一章节内容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针对课后作业存在疑问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，通过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qq群，微信群等多媒体手段进行讨论交流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班级qq群，微信群等多媒体手段</w:t>
            </w:r>
          </w:p>
        </w:tc>
        <w:tc>
          <w:tcPr>
            <w:tcW w:w="1007" w:type="dxa"/>
            <w:tcBorders>
              <w:left w:val="single" w:color="auto" w:sz="2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为学生个性化学习提供基础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为学习下节课内容做好准备</w:t>
            </w:r>
          </w:p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搭建学生间、学生与教师、学生的沟通平台</w:t>
            </w:r>
          </w:p>
        </w:tc>
      </w:tr>
    </w:tbl>
    <w:p>
      <w:pPr>
        <w:jc w:val="center"/>
        <w:rPr>
          <w:rFonts w:hint="eastAsia" w:ascii="黑体" w:hAnsi="黑体" w:eastAsia="黑体" w:cs="黑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ell MT">
    <w:altName w:val="PMingLiU"/>
    <w:panose1 w:val="02020503060305020303"/>
    <w:charset w:val="00"/>
    <w:family w:val="roman"/>
    <w:pitch w:val="default"/>
    <w:sig w:usb0="00000000" w:usb1="00000000" w:usb2="00000000" w:usb3="00000000" w:csb0="200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178" w:leftChars="-85"/>
      <w:jc w:val="center"/>
    </w:pPr>
    <w:r>
      <w:rPr>
        <w:rFonts w:hint="eastAsia"/>
        <w:sz w:val="18"/>
        <w:szCs w:val="18"/>
      </w:rPr>
      <w:t xml:space="preserve">日照职业技术学院 </w:t>
    </w:r>
    <w:r>
      <w:rPr>
        <w:rFonts w:hint="eastAsia"/>
        <w:sz w:val="18"/>
        <w:szCs w:val="18"/>
        <w:lang w:val="en-US" w:eastAsia="zh-CN"/>
      </w:rPr>
      <w:t>会计学院</w:t>
    </w:r>
    <w:r>
      <w:rPr>
        <w:rFonts w:hint="eastAsia"/>
        <w:sz w:val="18"/>
        <w:szCs w:val="18"/>
      </w:rPr>
      <w:t xml:space="preserve">                                              </w:t>
    </w:r>
    <w:r>
      <w:rPr>
        <w:rFonts w:hint="eastAsia"/>
        <w:sz w:val="18"/>
        <w:szCs w:val="18"/>
        <w:lang w:val="en-US" w:eastAsia="zh-CN"/>
      </w:rPr>
      <w:t>******</w:t>
    </w:r>
    <w:r>
      <w:rPr>
        <w:rFonts w:hint="eastAsia"/>
        <w:sz w:val="18"/>
        <w:szCs w:val="18"/>
      </w:rPr>
      <w:t>课程教案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D15B1"/>
    <w:multiLevelType w:val="singleLevel"/>
    <w:tmpl w:val="577D15B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79EA85D"/>
    <w:multiLevelType w:val="singleLevel"/>
    <w:tmpl w:val="579EA85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9EA8C3"/>
    <w:multiLevelType w:val="singleLevel"/>
    <w:tmpl w:val="579EA8C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79EB7A4"/>
    <w:multiLevelType w:val="singleLevel"/>
    <w:tmpl w:val="579EB7A4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79EBAB0"/>
    <w:multiLevelType w:val="singleLevel"/>
    <w:tmpl w:val="579EBAB0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79FEE77"/>
    <w:multiLevelType w:val="singleLevel"/>
    <w:tmpl w:val="579FEE77"/>
    <w:lvl w:ilvl="0" w:tentative="0">
      <w:start w:val="3"/>
      <w:numFmt w:val="decimal"/>
      <w:suff w:val="nothing"/>
      <w:lvlText w:val="%1."/>
      <w:lvlJc w:val="left"/>
    </w:lvl>
  </w:abstractNum>
  <w:abstractNum w:abstractNumId="6">
    <w:nsid w:val="579FEFB6"/>
    <w:multiLevelType w:val="singleLevel"/>
    <w:tmpl w:val="579FEFB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07518"/>
    <w:rsid w:val="1505421F"/>
    <w:rsid w:val="258326ED"/>
    <w:rsid w:val="28707518"/>
    <w:rsid w:val="2FB50314"/>
    <w:rsid w:val="3E6F2083"/>
    <w:rsid w:val="4C945187"/>
    <w:rsid w:val="4CAE7D3B"/>
    <w:rsid w:val="55B15868"/>
    <w:rsid w:val="5D315EF6"/>
    <w:rsid w:val="5E0F0C87"/>
    <w:rsid w:val="633A6680"/>
    <w:rsid w:val="6CDB751D"/>
    <w:rsid w:val="73CB0DD3"/>
    <w:rsid w:val="75A16C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2016-08-02T01:58:00Z</dcterms:created>
  <dc:creator>Administrator</dc:creator>
  <cp:lastModifiedBy>Administrator</cp:lastModifiedBy>
  <dcterms:modified xsi:type="dcterms:W3CDTF">2016-08-29T10:56:57Z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