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1-2 移动商务市场定位</w:t>
      </w:r>
    </w:p>
    <w:p>
      <w:p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知识目标：</w:t>
      </w:r>
    </w:p>
    <w:p>
      <w:p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掌握移动电子商务产品定位的步骤</w:t>
      </w:r>
    </w:p>
    <w:p>
      <w:p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能力目标：</w:t>
      </w:r>
    </w:p>
    <w:p>
      <w:p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能对产品和服务开展移动商务进行定位</w:t>
      </w:r>
    </w:p>
    <w:p>
      <w:pPr>
        <w:rPr>
          <w:rFonts w:hint="eastAsia" w:ascii="宋体" w:hAnsi="宋体" w:eastAsia="宋体" w:cs="宋体"/>
          <w:sz w:val="28"/>
          <w:szCs w:val="28"/>
          <w:lang w:val="en-US" w:eastAsia="zh-CN"/>
        </w:rPr>
      </w:pPr>
      <w:r>
        <w:rPr>
          <w:rFonts w:hint="eastAsia" w:ascii="宋体" w:hAnsi="宋体" w:eastAsia="宋体" w:cs="宋体"/>
          <w:b/>
          <w:bCs/>
          <w:sz w:val="28"/>
          <w:szCs w:val="28"/>
          <w:lang w:val="en-US" w:eastAsia="zh-CN"/>
        </w:rPr>
        <w:t>情境导入</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网易严选的定位</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网易严选：</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ODM（原始设计制造商）模式生活类电商</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通过去掉高昂品牌溢价、挤掉广告公关成本、剔除中间环、摒弃传统销售模式，使价格回归理性，从而为用户提供物超所值的品质生活产品。</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“严选，是为了让你不用选。”</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 “好的生活，没那么贵”</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秉承一贯的严谨态度，从源头全程严格把控商品生产环节，帮消费者甄选到最优质的商品纵向定价系统：所有商品售价遵循 “成本价 + 增值税 + 邮费”规则。</w:t>
      </w:r>
    </w:p>
    <w:p>
      <w:pPr>
        <w:ind w:firstLine="420" w:firstLineChars="200"/>
      </w:pPr>
      <w:r>
        <w:drawing>
          <wp:inline distT="0" distB="0" distL="114300" distR="114300">
            <wp:extent cx="5273675" cy="3199765"/>
            <wp:effectExtent l="0" t="0" r="3175"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4"/>
                    <a:stretch>
                      <a:fillRect/>
                    </a:stretch>
                  </pic:blipFill>
                  <pic:spPr>
                    <a:xfrm>
                      <a:off x="0" y="0"/>
                      <a:ext cx="5273675" cy="3199765"/>
                    </a:xfrm>
                    <a:prstGeom prst="rect">
                      <a:avLst/>
                    </a:prstGeom>
                    <a:noFill/>
                    <a:ln w="9525">
                      <a:noFill/>
                    </a:ln>
                  </pic:spPr>
                </pic:pic>
              </a:graphicData>
            </a:graphic>
          </wp:inline>
        </w:drawing>
      </w:r>
    </w:p>
    <w:p>
      <w:pPr>
        <w:ind w:firstLine="420" w:firstLineChars="200"/>
      </w:pP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情境分析</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网易严选的定位（确定提供什么样的产品和服务）？</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用户的需求是什么？</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以折扣价/低价买到好品质的品牌产品</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用户需求的解决方案是什么？</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从品牌制造商直接进货，摒弃价格中的品牌溢价、广告成本</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如何创造价值？</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价值提炼：帮消费者甄选到最优质的商品；</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技能学习</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一、产品及服务定位的价值</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品牌定位</w:t>
      </w:r>
    </w:p>
    <w:p>
      <w:pPr>
        <w:ind w:firstLine="560" w:firstLineChars="200"/>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在谈产品定位之前有必要了解一下</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"https://baike.baidu.com/item/%E5%93%81%E7%89%8C%E5%AE%9A%E4%BD%8D" \t "https://baike.baidu.com/item/%E4%BA%A7%E5%93%81%E5%AE%9A%E4%BD%8D/_blank"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品牌定位</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。所谓品牌定位就是指企业的产品及其品牌，基于顾客的生理和心理需求，寻找其独特的个性和良好的形象，从而凝固于消费者心目中，占据一个有价值的位置。品牌定位是针对</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"https://baike.baidu.com/item/%E4%BA%A7%E5%93%81%E5%93%81%E7%89%8C" \t "https://baike.baidu.com/item/%E4%BA%A7%E5%93%81%E5%AE%9A%E4%BD%8D/_blank"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产品品牌</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的，其核心是要打造品牌价值。品牌定位的载体是产品，其承诺最终通过产品兑现，因此必然已经包含产品定位于其中。</w:t>
      </w:r>
    </w:p>
    <w:p>
      <w:pPr>
        <w:ind w:firstLine="560" w:firstLineChars="200"/>
        <w:rPr>
          <w:rFonts w:hint="eastAsia" w:ascii="宋体" w:hAnsi="宋体" w:eastAsia="宋体" w:cs="宋体"/>
          <w:sz w:val="28"/>
          <w:szCs w:val="28"/>
          <w:lang w:val="en-US" w:eastAsia="zh-CN"/>
        </w:rPr>
      </w:pPr>
      <w:bookmarkStart w:id="0" w:name="产品定位"/>
      <w:bookmarkEnd w:id="0"/>
      <w:bookmarkStart w:id="1" w:name="1_2"/>
      <w:bookmarkEnd w:id="1"/>
      <w:bookmarkStart w:id="2" w:name="1-2"/>
      <w:bookmarkEnd w:id="2"/>
      <w:bookmarkStart w:id="3" w:name="sub281861_1_2"/>
      <w:bookmarkEnd w:id="3"/>
      <w:r>
        <w:rPr>
          <w:rFonts w:hint="eastAsia" w:ascii="宋体" w:hAnsi="宋体" w:eastAsia="宋体" w:cs="宋体"/>
          <w:sz w:val="28"/>
          <w:szCs w:val="28"/>
          <w:lang w:val="en-US" w:eastAsia="zh-CN"/>
        </w:rPr>
        <w:t>产品定位</w:t>
      </w:r>
    </w:p>
    <w:p>
      <w:pPr>
        <w:ind w:firstLine="560" w:firstLineChars="200"/>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"https://baike.baidu.com/item/%E4%BA%A7%E5%93%81%E5%AE%9A%E4%BD%8D" \t "https://baike.baidu.com/item/%E4%BA%A7%E5%93%81%E5%AE%9A%E4%BD%8D/_blank"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产品定位</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是在产品设计之初或在产品市场推广的过程中，通过广告宣传或其他营销手段使得本产品在消费者心中确立一个具体的形象的过程，简而言之就是给消费者选择产品时制造一个决策捷径。</w:t>
      </w:r>
    </w:p>
    <w:p>
      <w:pPr>
        <w:ind w:firstLine="560" w:firstLineChars="200"/>
        <w:rPr>
          <w:rFonts w:hint="default" w:ascii="宋体" w:hAnsi="宋体" w:eastAsia="宋体" w:cs="宋体"/>
          <w:sz w:val="28"/>
          <w:szCs w:val="28"/>
          <w:lang w:val="en-US" w:eastAsia="zh-CN"/>
        </w:rPr>
      </w:pPr>
      <w:r>
        <w:rPr>
          <w:rFonts w:hint="default" w:ascii="宋体" w:hAnsi="宋体" w:eastAsia="宋体" w:cs="宋体"/>
          <w:sz w:val="28"/>
          <w:szCs w:val="28"/>
          <w:lang w:val="en-US" w:eastAsia="zh-CN"/>
        </w:rPr>
        <w:t>对产品定位的计划和实施以</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"https://baike.baidu.com/item/%E5%B8%82%E5%9C%BA%E5%AE%9A%E4%BD%8D" \t "https://baike.baidu.com/item/%E4%BA%A7%E5%93%81%E5%AE%9A%E4%BD%8D/_blank"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市场定位</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为基础，受市场定位指导，但比市场定位更深入人心。具体地说，就是要在</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"https://baike.baidu.com/item/%E7%9B%AE%E6%A0%87%E5%AE%A2%E6%88%B7" \t "https://baike.baidu.com/item/%E4%BA%A7%E5%93%81%E5%AE%9A%E4%BD%8D/_blank"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目标客户</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的心目中为产品创造一定的特色，赋予一定的形象，以适应顾客一定的需要和</w:t>
      </w:r>
      <w:r>
        <w:rPr>
          <w:rFonts w:hint="default" w:ascii="宋体" w:hAnsi="宋体" w:eastAsia="宋体" w:cs="宋体"/>
          <w:sz w:val="28"/>
          <w:szCs w:val="28"/>
          <w:lang w:val="en-US" w:eastAsia="zh-CN"/>
        </w:rPr>
        <w:fldChar w:fldCharType="begin"/>
      </w:r>
      <w:r>
        <w:rPr>
          <w:rFonts w:hint="default" w:ascii="宋体" w:hAnsi="宋体" w:eastAsia="宋体" w:cs="宋体"/>
          <w:sz w:val="28"/>
          <w:szCs w:val="28"/>
          <w:lang w:val="en-US" w:eastAsia="zh-CN"/>
        </w:rPr>
        <w:instrText xml:space="preserve"> HYPERLINK "https://baike.baidu.com/item/%E5%81%8F%E5%A5%BD" \t "https://baike.baidu.com/item/%E4%BA%A7%E5%93%81%E5%AE%9A%E4%BD%8D/_blank" </w:instrText>
      </w:r>
      <w:r>
        <w:rPr>
          <w:rFonts w:hint="default" w:ascii="宋体" w:hAnsi="宋体" w:eastAsia="宋体" w:cs="宋体"/>
          <w:sz w:val="28"/>
          <w:szCs w:val="28"/>
          <w:lang w:val="en-US" w:eastAsia="zh-CN"/>
        </w:rPr>
        <w:fldChar w:fldCharType="separate"/>
      </w:r>
      <w:r>
        <w:rPr>
          <w:rFonts w:hint="default" w:ascii="宋体" w:hAnsi="宋体" w:eastAsia="宋体" w:cs="宋体"/>
          <w:sz w:val="28"/>
          <w:szCs w:val="28"/>
          <w:lang w:val="en-US" w:eastAsia="zh-CN"/>
        </w:rPr>
        <w:t>偏好</w:t>
      </w:r>
      <w:r>
        <w:rPr>
          <w:rFonts w:hint="default" w:ascii="宋体" w:hAnsi="宋体" w:eastAsia="宋体" w:cs="宋体"/>
          <w:sz w:val="28"/>
          <w:szCs w:val="28"/>
          <w:lang w:val="en-US" w:eastAsia="zh-CN"/>
        </w:rPr>
        <w:fldChar w:fldCharType="end"/>
      </w:r>
      <w:r>
        <w:rPr>
          <w:rFonts w:hint="default" w:ascii="宋体" w:hAnsi="宋体" w:eastAsia="宋体" w:cs="宋体"/>
          <w:sz w:val="28"/>
          <w:szCs w:val="28"/>
          <w:lang w:val="en-US" w:eastAsia="zh-CN"/>
        </w:rPr>
        <w:t>。</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二、产品定位遵循的基本原则</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产品定位必须遵循两项基本原则，即适应性原则和竞争性原则。</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适应性原则包括两个方面，一是产品定位要适应消费者的需求，投其所好，给其所需，以树立产品形象，促进购买行为发生；二是产品定位要适应企业自身的人、财、物等资源配置的条件，以保质保量、及时顺达地到达市场位置。</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竞争性原则，也可以称之为差异性原则。产品定位不能一相情愿，还必须结合市场上同行业竞争对手的情况（诸如竞争对手的数量，各自的实力及其产品的不同市场位置等）来确定，避免定位雷同，以减少竞争中的风险，促进产品销售。例如，B企业的产品是为较高收入的消费者服务的，A企业产品则定位于为较低收入者服务；B企业的产品某一属性突出，A企业的产品则定位于别的某一属性上，形成产品差异化的特质等。“人无我有，人有我优，人优我廉，人廉我转”正是这种竞争性原则运用的具体体现。</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可见，产品定位基本上取决于四个方面：产品、企业、消费者和竞争者，即产品的特性，企业的创新意识，消费者的需求偏爱，竞争对手产品的市场位置，四者协调得当，就能正确地确定产品地位。</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三、产品定位步骤</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步骤(一)：分析本公司与竞争者的产品。分析本身及竞争者所销售的产品，是定位的良好起点。</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步骤(二)：找出差异性。比较自己产品和竞争产品，对产品目标市场正面及负面的差异性，这些差异性必须详细列出适合所销售产品之营销组合关键因素。 有时候，表面上看来是负面效果的差异性，也许会变成正面效果。</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步骤(三)：列出主要目标市场,才能很好地进行产品定位。</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步骤(四)：指出主要目标市场的特征。目标市场的欲望、需求等特征一一写出简单扼要的。</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步骤(五)：与目标市场的需求。接着就是把产品的特征和目标市场的需求与欲望结合在一起。有时候，营销人员必须在产品和目标市场特征之间，画上许多条线，以发觉消费者尚有哪些最重要的需求/欲望，未被公司产品或竞争者的产品所满足。</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四、目标群体分析----用户画像</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画像又称用户角色，作为一种勾画目标用户、联系用户诉求与设计方向的有效工具，用户画像在各领域得到了广泛的应用。我们在实际操作的过程中往往会以最为浅显和贴近生活的话语将用户的属性、行为与期待联结起来。作为实际用户的虚拟代表，用户画像所形成的用户角色并不是脱离产品和市场之外所构建出来的，形成的用户角色需要有代表性能代表产品的主要受众和目标群体。</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用户画像可以使产品的服务对象更加聚焦，更加的专注。在行业里，我们经常看到这样一种现象：做一个产品，期望目标用户能涵盖所有人，男人女人、老人小孩、专家小白、文青屌丝...... 通常这样的产品会走向消亡，因为每一个产品都是为特定目标群的共同标准而服务的，当目标群的基数越大，这个标准就越低。换言之， 如果这个产品是适合每一个人的，那么其实它是为最低的标准服务的，这样的产品要么毫无特色，要么过于简陋。</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纵览成功的产品案例，他们服务的目标用户通常都非常清晰，特征明显，体现在产品上就是专注、极致，能解决核心问题。比如苹果的产品，一直都为有态度、追求品质、特立独行的人群服务，赢得了很好的用户口碑及市场份额。又比如豆瓣，专注文艺事业十多年，只为文艺青年服务，用户粘性非常高，文艺青年在这里能找到知音，找到归宿。所以，给特定群体提供专注的服务，远比给广泛人群提供低标准的服务更接近成功。 　其次，用户画像可以在一定程度上避免产品设计人员草率的代表用户。代替用户发声是在产品设计中常出现的现象，产品设计人员经常不自觉的认为用户的期望跟他们是一致的，并且还总打着“为用户服务”的旗号。这样的后果往往是：我们精心设计的服务，用户并不买账，甚至觉得很糟糕。</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Google Buzz在问世之前，曾做过近两万人的用户测试，可这些人都是Google自家的员工，测试中他们对于Buzz的很多功能都表示肯定，使用起来也非常流畅。但当产品真正推出之后，却意外收到海量来自实际用户的抱怨。所以，我们需要正确的使用用户画像，小心的找准自己的立足点和发力方向，真切的从用户角度出发，剖析核心诉求，筛除产品设计团队自以为是、并扣以“用户”的伪需求。</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最后，用户画像还可以提高决策效率。在现在的产品设计流程中，各个环节的参与者非常多，分歧总是不可避免，决策效率无疑影响着项目的进度。而用户画像是来自于对目标用户的研究，当所有参与产品的人都基于一致的用户进行讨论和决策，就很容易约束各方能保持在同一个大方向上，提高决策的效率。</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技能提升</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用户画像初步构建</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查找同程旅游相关材料，分析同程旅游的目标市场，搭建同程旅游境内游用户画像包含的基本结构。</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实训要求：</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① 对同程旅游有基本的了解；</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② 从不同角度细分目标市场，给出具体的角度，比如：地域、年龄层、经济水平等等；</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③ 呈现境内游用户的用户画像基本结构，列出用户画像需要重点考量的方面。</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实训平台：</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同程旅游 APP</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百度：</w:t>
      </w:r>
      <w:r>
        <w:rPr>
          <w:rFonts w:hint="eastAsia" w:ascii="宋体" w:hAnsi="宋体" w:eastAsia="宋体" w:cs="宋体"/>
          <w:sz w:val="28"/>
          <w:szCs w:val="28"/>
          <w:lang w:val="en-US" w:eastAsia="zh-CN"/>
        </w:rPr>
        <w:fldChar w:fldCharType="begin"/>
      </w:r>
      <w:r>
        <w:rPr>
          <w:rFonts w:hint="eastAsia" w:ascii="宋体" w:hAnsi="宋体" w:eastAsia="宋体" w:cs="宋体"/>
          <w:sz w:val="28"/>
          <w:szCs w:val="28"/>
          <w:lang w:val="en-US" w:eastAsia="zh-CN"/>
        </w:rPr>
        <w:instrText xml:space="preserve"> HYPERLINK "http://www.baidu.com/" </w:instrText>
      </w:r>
      <w:r>
        <w:rPr>
          <w:rFonts w:hint="eastAsia" w:ascii="宋体" w:hAnsi="宋体" w:eastAsia="宋体" w:cs="宋体"/>
          <w:sz w:val="28"/>
          <w:szCs w:val="28"/>
          <w:lang w:val="en-US" w:eastAsia="zh-CN"/>
        </w:rPr>
        <w:fldChar w:fldCharType="separate"/>
      </w:r>
      <w:r>
        <w:rPr>
          <w:rFonts w:hint="eastAsia" w:ascii="宋体" w:hAnsi="宋体" w:eastAsia="宋体" w:cs="宋体"/>
          <w:sz w:val="28"/>
          <w:szCs w:val="28"/>
          <w:lang w:val="en-US" w:eastAsia="zh-CN"/>
        </w:rPr>
        <w:t>www.baidu.com</w:t>
      </w:r>
      <w:r>
        <w:rPr>
          <w:rFonts w:hint="eastAsia" w:ascii="宋体" w:hAnsi="宋体" w:eastAsia="宋体" w:cs="宋体"/>
          <w:sz w:val="28"/>
          <w:szCs w:val="28"/>
          <w:lang w:val="en-US" w:eastAsia="zh-CN"/>
        </w:rPr>
        <w:fldChar w:fldCharType="end"/>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实训步骤：</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① 对同程旅游 APP 有基本了解，具体的产品有大致了解。</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② 细分市场，列出细分标准，如：地域、性别等等。</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③ 仔细阅读《同程旅游 APP 简介》，提炼同程的优势之处。</w:t>
      </w:r>
    </w:p>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④ 根据以上步骤的结果，列出五项在境内游用户画像分析中需要重点关注的维度，完成下面的表格。（举例较为简单，仅供参考。）</w:t>
      </w:r>
    </w:p>
    <w:p>
      <w:pPr>
        <w:ind w:firstLine="560" w:firstLineChars="200"/>
        <w:rPr>
          <w:rFonts w:hint="eastAsia" w:ascii="宋体" w:hAnsi="宋体" w:eastAsia="宋体" w:cs="宋体"/>
          <w:sz w:val="28"/>
          <w:szCs w:val="28"/>
          <w:lang w:val="en-US" w:eastAsia="zh-CN"/>
        </w:rPr>
      </w:pPr>
    </w:p>
    <w:tbl>
      <w:tblPr>
        <w:tblStyle w:val="2"/>
        <w:tblW w:w="848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320"/>
        <w:gridCol w:w="41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55" w:hRule="atLeast"/>
        </w:trPr>
        <w:tc>
          <w:tcPr>
            <w:tcW w:w="4320" w:type="dxa"/>
            <w:tcBorders>
              <w:top w:val="single" w:color="auto" w:sz="8" w:space="0"/>
              <w:left w:val="single" w:color="auto" w:sz="8" w:space="0"/>
              <w:right w:val="single" w:color="auto" w:sz="8" w:space="0"/>
            </w:tcBorders>
            <w:shd w:val="clear" w:color="auto" w:fill="D9D9D9"/>
            <w:vAlign w:val="bottom"/>
          </w:tcPr>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用户画像维度</w:t>
            </w:r>
          </w:p>
        </w:tc>
        <w:tc>
          <w:tcPr>
            <w:tcW w:w="4160" w:type="dxa"/>
            <w:tcBorders>
              <w:top w:val="single" w:color="auto" w:sz="8" w:space="0"/>
              <w:right w:val="single" w:color="auto" w:sz="8" w:space="0"/>
            </w:tcBorders>
            <w:shd w:val="clear" w:color="auto" w:fill="D9D9D9"/>
            <w:vAlign w:val="bottom"/>
          </w:tcPr>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选取原因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8" w:hRule="atLeast"/>
        </w:trPr>
        <w:tc>
          <w:tcPr>
            <w:tcW w:w="4320" w:type="dxa"/>
            <w:tcBorders>
              <w:left w:val="single" w:color="auto" w:sz="8" w:space="0"/>
              <w:bottom w:val="single" w:color="auto" w:sz="8" w:space="0"/>
              <w:right w:val="single" w:color="auto" w:sz="8" w:space="0"/>
            </w:tcBorders>
            <w:shd w:val="clear" w:color="auto" w:fill="D9D9D9"/>
            <w:vAlign w:val="bottom"/>
          </w:tcPr>
          <w:p>
            <w:pPr>
              <w:ind w:firstLine="560" w:firstLineChars="200"/>
              <w:rPr>
                <w:rFonts w:hint="eastAsia" w:ascii="宋体" w:hAnsi="宋体" w:eastAsia="宋体" w:cs="宋体"/>
                <w:sz w:val="28"/>
                <w:szCs w:val="28"/>
                <w:lang w:val="en-US" w:eastAsia="zh-CN"/>
              </w:rPr>
            </w:pPr>
          </w:p>
        </w:tc>
        <w:tc>
          <w:tcPr>
            <w:tcW w:w="4160" w:type="dxa"/>
            <w:tcBorders>
              <w:bottom w:val="single" w:color="auto" w:sz="8" w:space="0"/>
              <w:right w:val="single" w:color="auto" w:sz="8" w:space="0"/>
            </w:tcBorders>
            <w:shd w:val="clear" w:color="auto" w:fill="D9D9D9"/>
            <w:vAlign w:val="bottom"/>
          </w:tcPr>
          <w:p>
            <w:pPr>
              <w:ind w:firstLine="560" w:firstLineChars="200"/>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42" w:hRule="atLeast"/>
        </w:trPr>
        <w:tc>
          <w:tcPr>
            <w:tcW w:w="4320" w:type="dxa"/>
            <w:tcBorders>
              <w:left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例：维度一：用户出行时间</w:t>
            </w:r>
          </w:p>
        </w:tc>
        <w:tc>
          <w:tcPr>
            <w:tcW w:w="4160" w:type="dxa"/>
            <w:tcBorders>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确定旺季时间段，扩大宣传，开展活动。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6" w:hRule="atLeast"/>
        </w:trPr>
        <w:tc>
          <w:tcPr>
            <w:tcW w:w="4320" w:type="dxa"/>
            <w:tcBorders>
              <w:left w:val="single" w:color="auto" w:sz="8" w:space="0"/>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c>
          <w:tcPr>
            <w:tcW w:w="4160" w:type="dxa"/>
            <w:tcBorders>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5" w:hRule="atLeast"/>
        </w:trPr>
        <w:tc>
          <w:tcPr>
            <w:tcW w:w="4320" w:type="dxa"/>
            <w:tcBorders>
              <w:left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维度一：</w:t>
            </w:r>
          </w:p>
        </w:tc>
        <w:tc>
          <w:tcPr>
            <w:tcW w:w="4160" w:type="dxa"/>
            <w:tcBorders>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6" w:hRule="atLeast"/>
        </w:trPr>
        <w:tc>
          <w:tcPr>
            <w:tcW w:w="4320" w:type="dxa"/>
            <w:tcBorders>
              <w:left w:val="single" w:color="auto" w:sz="8" w:space="0"/>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c>
          <w:tcPr>
            <w:tcW w:w="4160" w:type="dxa"/>
            <w:tcBorders>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5" w:hRule="atLeast"/>
        </w:trPr>
        <w:tc>
          <w:tcPr>
            <w:tcW w:w="4320" w:type="dxa"/>
            <w:tcBorders>
              <w:left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维度二：</w:t>
            </w:r>
          </w:p>
        </w:tc>
        <w:tc>
          <w:tcPr>
            <w:tcW w:w="4160" w:type="dxa"/>
            <w:tcBorders>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78" w:hRule="atLeast"/>
        </w:trPr>
        <w:tc>
          <w:tcPr>
            <w:tcW w:w="4320" w:type="dxa"/>
            <w:tcBorders>
              <w:left w:val="single" w:color="auto" w:sz="8" w:space="0"/>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c>
          <w:tcPr>
            <w:tcW w:w="4160" w:type="dxa"/>
            <w:tcBorders>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38" w:hRule="atLeast"/>
        </w:trPr>
        <w:tc>
          <w:tcPr>
            <w:tcW w:w="4320" w:type="dxa"/>
            <w:tcBorders>
              <w:left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维度三：</w:t>
            </w:r>
          </w:p>
        </w:tc>
        <w:tc>
          <w:tcPr>
            <w:tcW w:w="4160" w:type="dxa"/>
            <w:tcBorders>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83" w:hRule="atLeast"/>
        </w:trPr>
        <w:tc>
          <w:tcPr>
            <w:tcW w:w="4320" w:type="dxa"/>
            <w:tcBorders>
              <w:left w:val="single" w:color="auto" w:sz="8" w:space="0"/>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c>
          <w:tcPr>
            <w:tcW w:w="4160" w:type="dxa"/>
            <w:tcBorders>
              <w:bottom w:val="single" w:color="auto" w:sz="8" w:space="0"/>
              <w:right w:val="single" w:color="auto" w:sz="8" w:space="0"/>
            </w:tcBorders>
            <w:shd w:val="clear" w:color="auto" w:fill="auto"/>
            <w:vAlign w:val="bottom"/>
          </w:tcPr>
          <w:p>
            <w:pPr>
              <w:ind w:firstLine="560" w:firstLineChars="200"/>
              <w:rPr>
                <w:rFonts w:hint="eastAsia" w:ascii="宋体" w:hAnsi="宋体" w:eastAsia="宋体" w:cs="宋体"/>
                <w:sz w:val="28"/>
                <w:szCs w:val="28"/>
                <w:lang w:val="en-US" w:eastAsia="zh-CN"/>
              </w:rPr>
            </w:pPr>
          </w:p>
        </w:tc>
      </w:tr>
    </w:tbl>
    <w:p>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任务3 移动商务载体选择</w:t>
      </w:r>
    </w:p>
    <w:p>
      <w:p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知识目标：</w:t>
      </w:r>
    </w:p>
    <w:p>
      <w:pPr>
        <w:jc w:val="both"/>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掌握移动电子商务提供的主要载体</w:t>
      </w:r>
    </w:p>
    <w:p>
      <w:p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能力目标：</w:t>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掌握选择移动电子商务载体的能力</w:t>
      </w:r>
    </w:p>
    <w:p>
      <w:pPr>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情境导入</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小明是一家食品公司的策划专员，如今有越来越多的人用手机上网，人们只要轻点手机就能了解到自己关心的信息，小明看到移动电子商务的前景，决心将公司产品与移动电子商务结合，可是小明并不了解移动电子商务，因此小明决定先从移动电子商务基础知识学习开始。要进行移动电子商务，第一步就是选择合适的商务载体。</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情境分析</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常见移动电子商务载体有哪些？小明应该为公司选择哪种移动电子商务载体呢？</w:t>
      </w:r>
    </w:p>
    <w:p>
      <w:p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技能学习</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可供选择载体</w:t>
      </w:r>
    </w:p>
    <w:p>
      <w:pPr>
        <w:jc w:val="both"/>
        <w:rPr>
          <w:rFonts w:hint="eastAsia" w:ascii="宋体" w:hAnsi="宋体" w:eastAsia="宋体" w:cs="宋体"/>
          <w:b w:val="0"/>
          <w:bCs w:val="0"/>
          <w:sz w:val="28"/>
          <w:szCs w:val="28"/>
          <w:lang w:val="en-US" w:eastAsia="zh-CN"/>
        </w:rPr>
      </w:pPr>
      <w:r>
        <w:drawing>
          <wp:inline distT="0" distB="0" distL="114300" distR="114300">
            <wp:extent cx="5268595" cy="2456180"/>
            <wp:effectExtent l="0" t="0" r="8255"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68595" cy="2456180"/>
                    </a:xfrm>
                    <a:prstGeom prst="rect">
                      <a:avLst/>
                    </a:prstGeom>
                    <a:noFill/>
                    <a:ln w="9525">
                      <a:noFill/>
                    </a:ln>
                  </pic:spPr>
                </pic:pic>
              </a:graphicData>
            </a:graphic>
          </wp:inline>
        </w:drawing>
      </w:r>
    </w:p>
    <w:p>
      <w:pPr>
        <w:jc w:val="both"/>
        <w:rPr>
          <w:rFonts w:hint="eastAsia" w:ascii="宋体" w:hAnsi="宋体" w:eastAsia="宋体" w:cs="宋体"/>
          <w:b w:val="0"/>
          <w:bCs w:val="0"/>
          <w:sz w:val="28"/>
          <w:szCs w:val="28"/>
          <w:lang w:val="en-US" w:eastAsia="zh-CN"/>
        </w:rPr>
      </w:pP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一、选择合适载体</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1.进行有效推广</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 xml:space="preserve"> </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选择有效的途径、有效</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产品和服务的增值的载体、有效的平台。</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2.实现增值</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实现效率最大化，增强自身竞争力。</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3，实现效率最大化</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最少的时间、最精准的投入，实现最大的收益</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4.增强自身竞争力</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通过有效推广，树立品牌形象，从同类产品中脱颖而出。</w:t>
      </w:r>
    </w:p>
    <w:p>
      <w:pPr>
        <w:numPr>
          <w:ilvl w:val="0"/>
          <w:numId w:val="1"/>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载体选择维度</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考量维度1：产品和服务的特点</w:t>
      </w:r>
    </w:p>
    <w:p>
      <w:pPr>
        <w:numPr>
          <w:ilvl w:val="0"/>
          <w:numId w:val="0"/>
        </w:numPr>
        <w:jc w:val="both"/>
        <w:rPr>
          <w:rFonts w:hint="eastAsia" w:ascii="宋体" w:hAnsi="宋体" w:eastAsia="宋体" w:cs="宋体"/>
          <w:b w:val="0"/>
          <w:bCs w:val="0"/>
          <w:sz w:val="28"/>
          <w:szCs w:val="28"/>
          <w:lang w:val="en-US" w:eastAsia="zh-CN"/>
        </w:rPr>
      </w:pPr>
      <w:r>
        <w:drawing>
          <wp:inline distT="0" distB="0" distL="114300" distR="114300">
            <wp:extent cx="5267960" cy="2207260"/>
            <wp:effectExtent l="0" t="0" r="8890" b="254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6"/>
                    <a:stretch>
                      <a:fillRect/>
                    </a:stretch>
                  </pic:blipFill>
                  <pic:spPr>
                    <a:xfrm>
                      <a:off x="0" y="0"/>
                      <a:ext cx="5267960" cy="2207260"/>
                    </a:xfrm>
                    <a:prstGeom prst="rect">
                      <a:avLst/>
                    </a:prstGeom>
                    <a:noFill/>
                    <a:ln w="9525">
                      <a:noFill/>
                    </a:ln>
                  </pic:spPr>
                </pic:pic>
              </a:graphicData>
            </a:graphic>
          </wp:inline>
        </w:drawing>
      </w:r>
    </w:p>
    <w:p>
      <w:pPr>
        <w:numPr>
          <w:ilvl w:val="0"/>
          <w:numId w:val="0"/>
        </w:numPr>
        <w:jc w:val="both"/>
        <w:rPr>
          <w:rFonts w:hint="eastAsia" w:ascii="宋体" w:hAnsi="宋体" w:eastAsia="宋体" w:cs="宋体"/>
          <w:b w:val="0"/>
          <w:bCs w:val="0"/>
          <w:sz w:val="28"/>
          <w:szCs w:val="28"/>
          <w:lang w:val="en-US" w:eastAsia="zh-CN"/>
        </w:rPr>
      </w:pPr>
    </w:p>
    <w:p>
      <w:pPr>
        <w:numPr>
          <w:ilvl w:val="0"/>
          <w:numId w:val="0"/>
        </w:numPr>
        <w:jc w:val="both"/>
        <w:rPr>
          <w:rFonts w:hint="eastAsia" w:ascii="宋体" w:hAnsi="宋体" w:eastAsia="宋体" w:cs="宋体"/>
          <w:b w:val="0"/>
          <w:bCs w:val="0"/>
          <w:sz w:val="28"/>
          <w:szCs w:val="28"/>
          <w:lang w:val="en-US" w:eastAsia="zh-CN"/>
        </w:rPr>
      </w:pPr>
      <w:r>
        <w:rPr>
          <w:rFonts w:ascii="宋体" w:hAnsi="宋体" w:eastAsia="宋体" w:cs="宋体"/>
          <w:sz w:val="24"/>
          <w:szCs w:val="24"/>
        </w:rPr>
        <w:drawing>
          <wp:inline distT="0" distB="0" distL="114300" distR="114300">
            <wp:extent cx="5191760" cy="3458845"/>
            <wp:effectExtent l="0" t="0" r="8890" b="8255"/>
            <wp:docPr id="7"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56"/>
                    <pic:cNvPicPr>
                      <a:picLocks noChangeAspect="1"/>
                    </pic:cNvPicPr>
                  </pic:nvPicPr>
                  <pic:blipFill>
                    <a:blip r:embed="rId7"/>
                    <a:stretch>
                      <a:fillRect/>
                    </a:stretch>
                  </pic:blipFill>
                  <pic:spPr>
                    <a:xfrm>
                      <a:off x="0" y="0"/>
                      <a:ext cx="5191760" cy="3458845"/>
                    </a:xfrm>
                    <a:prstGeom prst="rect">
                      <a:avLst/>
                    </a:prstGeom>
                    <a:noFill/>
                    <a:ln w="9525">
                      <a:noFill/>
                    </a:ln>
                  </pic:spPr>
                </pic:pic>
              </a:graphicData>
            </a:graphic>
          </wp:inline>
        </w:drawing>
      </w:r>
    </w:p>
    <w:p>
      <w:pPr>
        <w:numPr>
          <w:ilvl w:val="0"/>
          <w:numId w:val="0"/>
        </w:numPr>
        <w:jc w:val="both"/>
        <w:rPr>
          <w:rFonts w:hint="eastAsia" w:ascii="宋体" w:hAnsi="宋体" w:eastAsia="宋体" w:cs="宋体"/>
          <w:b w:val="0"/>
          <w:bCs w:val="0"/>
          <w:sz w:val="28"/>
          <w:szCs w:val="28"/>
          <w:lang w:val="en-US" w:eastAsia="zh-CN"/>
        </w:rPr>
      </w:pP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聚合类新闻客户端</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20到40岁，关注新闻，商务人士、学生等等。</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内容丰富，精准推送。</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新闻类客户端排名靠前，发展前景好。</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考量维度2：客户群体特征</w:t>
      </w:r>
    </w:p>
    <w:p>
      <w:pPr>
        <w:numPr>
          <w:ilvl w:val="0"/>
          <w:numId w:val="0"/>
        </w:numPr>
        <w:jc w:val="both"/>
      </w:pPr>
      <w:r>
        <w:drawing>
          <wp:inline distT="0" distB="0" distL="114300" distR="114300">
            <wp:extent cx="4904740" cy="4504690"/>
            <wp:effectExtent l="0" t="0" r="10160" b="1016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8"/>
                    <a:stretch>
                      <a:fillRect/>
                    </a:stretch>
                  </pic:blipFill>
                  <pic:spPr>
                    <a:xfrm>
                      <a:off x="0" y="0"/>
                      <a:ext cx="4904740" cy="4504690"/>
                    </a:xfrm>
                    <a:prstGeom prst="rect">
                      <a:avLst/>
                    </a:prstGeom>
                    <a:noFill/>
                    <a:ln w="9525">
                      <a:noFill/>
                    </a:ln>
                  </pic:spPr>
                </pic:pic>
              </a:graphicData>
            </a:graphic>
          </wp:inline>
        </w:drawing>
      </w:r>
    </w:p>
    <w:p>
      <w:pPr>
        <w:numPr>
          <w:ilvl w:val="0"/>
          <w:numId w:val="0"/>
        </w:numPr>
        <w:jc w:val="both"/>
        <w:rPr>
          <w:rFonts w:hint="eastAsia"/>
          <w:lang w:val="en-US" w:eastAsia="zh-CN"/>
        </w:rPr>
      </w:pP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需考虑因素</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客户群体特点是什么?</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群体媒介接触习惯是什么?</w:t>
      </w:r>
    </w:p>
    <w:p>
      <w:pPr>
        <w:numPr>
          <w:ilvl w:val="0"/>
          <w:numId w:val="0"/>
        </w:numPr>
        <w:jc w:val="both"/>
        <w:rPr>
          <w:rFonts w:hint="eastAsia" w:ascii="宋体" w:hAnsi="宋体" w:eastAsia="宋体" w:cs="宋体"/>
          <w:b w:val="0"/>
          <w:bCs w:val="0"/>
          <w:sz w:val="28"/>
          <w:szCs w:val="28"/>
          <w:lang w:val="en-US" w:eastAsia="zh-CN"/>
        </w:rPr>
      </w:pPr>
      <w:r>
        <w:drawing>
          <wp:inline distT="0" distB="0" distL="114300" distR="114300">
            <wp:extent cx="5271770" cy="2727960"/>
            <wp:effectExtent l="0" t="0" r="5080" b="1524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9"/>
                    <a:stretch>
                      <a:fillRect/>
                    </a:stretch>
                  </pic:blipFill>
                  <pic:spPr>
                    <a:xfrm>
                      <a:off x="0" y="0"/>
                      <a:ext cx="5271770" cy="2727960"/>
                    </a:xfrm>
                    <a:prstGeom prst="rect">
                      <a:avLst/>
                    </a:prstGeom>
                    <a:noFill/>
                    <a:ln w="9525">
                      <a:noFill/>
                    </a:ln>
                  </pic:spPr>
                </pic:pic>
              </a:graphicData>
            </a:graphic>
          </wp:inline>
        </w:drawing>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考量维度3：推广目标诉求</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获取用户关注</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增强粉丝黏性</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扩大市场规模</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提高产品交易量</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案例：小米手机推广目标</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新品发布</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产品宣传</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市场占有率</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ab/>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活动宣传</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市场调研</w:t>
      </w:r>
      <w:r>
        <w:rPr>
          <w:rFonts w:hint="eastAsia" w:ascii="宋体" w:hAnsi="宋体" w:eastAsia="宋体" w:cs="宋体"/>
          <w:b w:val="0"/>
          <w:bCs w:val="0"/>
          <w:sz w:val="28"/>
          <w:szCs w:val="28"/>
          <w:lang w:val="en-US" w:eastAsia="zh-CN"/>
        </w:rPr>
        <w:tab/>
      </w:r>
      <w:r>
        <w:rPr>
          <w:rFonts w:hint="eastAsia" w:ascii="宋体" w:hAnsi="宋体" w:eastAsia="宋体" w:cs="宋体"/>
          <w:b w:val="0"/>
          <w:bCs w:val="0"/>
          <w:sz w:val="28"/>
          <w:szCs w:val="28"/>
          <w:lang w:val="en-US" w:eastAsia="zh-CN"/>
        </w:rPr>
        <w:t>达成交易</w:t>
      </w:r>
      <w:r>
        <w:rPr>
          <w:rFonts w:hint="eastAsia" w:ascii="宋体" w:hAnsi="宋体" w:eastAsia="宋体" w:cs="宋体"/>
          <w:b w:val="0"/>
          <w:bCs w:val="0"/>
          <w:sz w:val="28"/>
          <w:szCs w:val="28"/>
          <w:lang w:val="en-US" w:eastAsia="zh-CN"/>
        </w:rPr>
        <w:tab/>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考量维度4：效果反馈周期</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产品新品宣传</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活动介绍推广</w:t>
      </w:r>
    </w:p>
    <w:p>
      <w:pPr>
        <w:numPr>
          <w:ilvl w:val="0"/>
          <w:numId w:val="0"/>
        </w:num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限时抢购促销</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三、载体对比分析</w:t>
      </w:r>
    </w:p>
    <w:tbl>
      <w:tblPr>
        <w:tblStyle w:val="2"/>
        <w:tblpPr w:leftFromText="180" w:rightFromText="180" w:vertAnchor="text" w:horzAnchor="page" w:tblpX="1109" w:tblpY="1734"/>
        <w:tblOverlap w:val="never"/>
        <w:tblW w:w="922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058"/>
        <w:gridCol w:w="3911"/>
        <w:gridCol w:w="32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8" w:hRule="atLeast"/>
        </w:trPr>
        <w:tc>
          <w:tcPr>
            <w:tcW w:w="2058" w:type="dxa"/>
            <w:shd w:val="clear" w:color="auto" w:fill="4384F1"/>
            <w:vAlign w:val="bottom"/>
          </w:tcPr>
          <w:p>
            <w:pPr>
              <w:spacing w:line="0" w:lineRule="atLeast"/>
              <w:rPr>
                <w:rFonts w:ascii="Times New Roman" w:hAnsi="Times New Roman" w:eastAsia="Times New Roman"/>
                <w:sz w:val="24"/>
              </w:rPr>
            </w:pPr>
          </w:p>
        </w:tc>
        <w:tc>
          <w:tcPr>
            <w:tcW w:w="3911" w:type="dxa"/>
            <w:shd w:val="clear" w:color="auto" w:fill="4384F1"/>
            <w:vAlign w:val="bottom"/>
          </w:tcPr>
          <w:p>
            <w:pPr>
              <w:spacing w:line="0" w:lineRule="atLeast"/>
              <w:jc w:val="center"/>
              <w:rPr>
                <w:rFonts w:ascii="微软雅黑" w:hAnsi="微软雅黑" w:eastAsia="微软雅黑"/>
                <w:b/>
                <w:color w:val="FFFFFF"/>
                <w:w w:val="99"/>
                <w:sz w:val="32"/>
              </w:rPr>
            </w:pPr>
            <w:r>
              <w:rPr>
                <w:rFonts w:ascii="微软雅黑" w:hAnsi="微软雅黑" w:eastAsia="微软雅黑"/>
                <w:b/>
                <w:color w:val="FFFFFF"/>
                <w:w w:val="99"/>
                <w:sz w:val="32"/>
              </w:rPr>
              <w:t>优势</w:t>
            </w:r>
          </w:p>
        </w:tc>
        <w:tc>
          <w:tcPr>
            <w:tcW w:w="3256" w:type="dxa"/>
            <w:shd w:val="clear" w:color="auto" w:fill="4384F1"/>
            <w:vAlign w:val="bottom"/>
          </w:tcPr>
          <w:p>
            <w:pPr>
              <w:spacing w:line="0" w:lineRule="atLeast"/>
              <w:jc w:val="center"/>
              <w:rPr>
                <w:rFonts w:ascii="微软雅黑" w:hAnsi="微软雅黑" w:eastAsia="微软雅黑"/>
                <w:b/>
                <w:color w:val="FFFFFF"/>
                <w:w w:val="99"/>
                <w:sz w:val="32"/>
              </w:rPr>
            </w:pPr>
            <w:r>
              <w:rPr>
                <w:rFonts w:ascii="微软雅黑" w:hAnsi="微软雅黑" w:eastAsia="微软雅黑"/>
                <w:b/>
                <w:color w:val="FFFFFF"/>
                <w:w w:val="99"/>
                <w:sz w:val="32"/>
              </w:rPr>
              <w:t>劣势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9" w:hRule="atLeast"/>
        </w:trPr>
        <w:tc>
          <w:tcPr>
            <w:tcW w:w="2058" w:type="dxa"/>
            <w:shd w:val="clear" w:color="auto" w:fill="4384F1"/>
            <w:vAlign w:val="bottom"/>
          </w:tcPr>
          <w:p>
            <w:pPr>
              <w:spacing w:line="0" w:lineRule="atLeast"/>
              <w:rPr>
                <w:rFonts w:ascii="Times New Roman" w:hAnsi="Times New Roman" w:eastAsia="Times New Roman"/>
                <w:sz w:val="7"/>
              </w:rPr>
            </w:pPr>
          </w:p>
        </w:tc>
        <w:tc>
          <w:tcPr>
            <w:tcW w:w="3911" w:type="dxa"/>
            <w:shd w:val="clear" w:color="auto" w:fill="4384F1"/>
            <w:vAlign w:val="bottom"/>
          </w:tcPr>
          <w:p>
            <w:pPr>
              <w:spacing w:line="0" w:lineRule="atLeast"/>
              <w:rPr>
                <w:rFonts w:ascii="Times New Roman" w:hAnsi="Times New Roman" w:eastAsia="Times New Roman"/>
                <w:sz w:val="7"/>
              </w:rPr>
            </w:pPr>
          </w:p>
        </w:tc>
        <w:tc>
          <w:tcPr>
            <w:tcW w:w="3256" w:type="dxa"/>
            <w:shd w:val="clear" w:color="auto" w:fill="4384F1"/>
            <w:vAlign w:val="bottom"/>
          </w:tcPr>
          <w:p>
            <w:pPr>
              <w:spacing w:line="0" w:lineRule="atLeast"/>
              <w:rPr>
                <w:rFonts w:ascii="Times New Roman" w:hAnsi="Times New Roman" w:eastAsia="Times New Roman"/>
                <w:sz w:val="7"/>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74" w:hRule="atLeast"/>
        </w:trPr>
        <w:tc>
          <w:tcPr>
            <w:tcW w:w="2058" w:type="dxa"/>
            <w:shd w:val="clear" w:color="auto" w:fill="CFD9FA"/>
            <w:vAlign w:val="bottom"/>
          </w:tcPr>
          <w:p>
            <w:pPr>
              <w:spacing w:line="0" w:lineRule="atLeast"/>
              <w:jc w:val="center"/>
              <w:rPr>
                <w:rFonts w:ascii="微软雅黑" w:hAnsi="微软雅黑" w:eastAsia="微软雅黑"/>
                <w:w w:val="99"/>
                <w:sz w:val="32"/>
              </w:rPr>
            </w:pPr>
            <w:r>
              <w:rPr>
                <w:rFonts w:ascii="微软雅黑" w:hAnsi="微软雅黑" w:eastAsia="微软雅黑"/>
                <w:w w:val="99"/>
                <w:sz w:val="32"/>
              </w:rPr>
              <w:t>公众号</w:t>
            </w:r>
          </w:p>
        </w:tc>
        <w:tc>
          <w:tcPr>
            <w:tcW w:w="3911" w:type="dxa"/>
            <w:shd w:val="clear" w:color="auto" w:fill="CFD9FA"/>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传播性强、接受群体不设限</w:t>
            </w:r>
          </w:p>
        </w:tc>
        <w:tc>
          <w:tcPr>
            <w:tcW w:w="3256" w:type="dxa"/>
            <w:shd w:val="clear" w:color="auto" w:fill="CFD9FA"/>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效果递减、进入的步骤多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5" w:hRule="atLeast"/>
        </w:trPr>
        <w:tc>
          <w:tcPr>
            <w:tcW w:w="2058" w:type="dxa"/>
            <w:shd w:val="clear" w:color="auto" w:fill="CFD9FA"/>
            <w:vAlign w:val="bottom"/>
          </w:tcPr>
          <w:p>
            <w:pPr>
              <w:spacing w:line="0" w:lineRule="atLeast"/>
              <w:rPr>
                <w:rFonts w:ascii="Times New Roman" w:hAnsi="Times New Roman" w:eastAsia="Times New Roman"/>
                <w:sz w:val="24"/>
              </w:rPr>
            </w:pPr>
          </w:p>
        </w:tc>
        <w:tc>
          <w:tcPr>
            <w:tcW w:w="3911" w:type="dxa"/>
            <w:shd w:val="clear" w:color="auto" w:fill="CFD9FA"/>
            <w:vAlign w:val="bottom"/>
          </w:tcPr>
          <w:p>
            <w:pPr>
              <w:spacing w:line="0" w:lineRule="atLeast"/>
              <w:rPr>
                <w:rFonts w:ascii="Times New Roman" w:hAnsi="Times New Roman" w:eastAsia="Times New Roman"/>
                <w:sz w:val="24"/>
              </w:rPr>
            </w:pPr>
          </w:p>
        </w:tc>
        <w:tc>
          <w:tcPr>
            <w:tcW w:w="3256" w:type="dxa"/>
            <w:shd w:val="clear" w:color="auto" w:fill="CFD9FA"/>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atLeast"/>
        </w:trPr>
        <w:tc>
          <w:tcPr>
            <w:tcW w:w="2058" w:type="dxa"/>
            <w:shd w:val="clear" w:color="auto" w:fill="E9EDFC"/>
            <w:vAlign w:val="bottom"/>
          </w:tcPr>
          <w:p>
            <w:pPr>
              <w:spacing w:line="0" w:lineRule="atLeast"/>
              <w:rPr>
                <w:rFonts w:ascii="Times New Roman" w:hAnsi="Times New Roman" w:eastAsia="Times New Roman"/>
                <w:sz w:val="24"/>
              </w:rPr>
            </w:pPr>
          </w:p>
        </w:tc>
        <w:tc>
          <w:tcPr>
            <w:tcW w:w="3911" w:type="dxa"/>
            <w:shd w:val="clear" w:color="auto" w:fill="E9EDFC"/>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精准聚焦、功能全面适合满足所有创新；</w:t>
            </w:r>
          </w:p>
        </w:tc>
        <w:tc>
          <w:tcPr>
            <w:tcW w:w="3256" w:type="dxa"/>
            <w:shd w:val="clear" w:color="auto" w:fill="E9EDFC"/>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开发成本高，维护成本高；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1" w:hRule="atLeast"/>
        </w:trPr>
        <w:tc>
          <w:tcPr>
            <w:tcW w:w="2058" w:type="dxa"/>
            <w:shd w:val="clear" w:color="auto" w:fill="E9EDFC"/>
            <w:vAlign w:val="bottom"/>
          </w:tcPr>
          <w:p>
            <w:pPr>
              <w:spacing w:line="0" w:lineRule="atLeast"/>
              <w:ind w:left="800"/>
              <w:rPr>
                <w:rFonts w:ascii="微软雅黑" w:hAnsi="微软雅黑" w:eastAsia="微软雅黑"/>
                <w:sz w:val="32"/>
              </w:rPr>
            </w:pPr>
            <w:r>
              <w:rPr>
                <w:rFonts w:ascii="微软雅黑" w:hAnsi="微软雅黑" w:eastAsia="微软雅黑"/>
                <w:sz w:val="32"/>
              </w:rPr>
              <w:t>APP</w:t>
            </w:r>
          </w:p>
        </w:tc>
        <w:tc>
          <w:tcPr>
            <w:tcW w:w="3911" w:type="dxa"/>
            <w:vMerge w:val="restart"/>
            <w:shd w:val="clear" w:color="auto" w:fill="E9EDFC"/>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用户使用习惯成熟，用户粘性好。</w:t>
            </w:r>
          </w:p>
        </w:tc>
        <w:tc>
          <w:tcPr>
            <w:tcW w:w="3256" w:type="dxa"/>
            <w:vMerge w:val="restart"/>
            <w:shd w:val="clear" w:color="auto" w:fill="E9EDFC"/>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开发周期较长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2058" w:type="dxa"/>
            <w:shd w:val="clear" w:color="auto" w:fill="E9EDFC"/>
            <w:vAlign w:val="bottom"/>
          </w:tcPr>
          <w:p>
            <w:pPr>
              <w:spacing w:line="0" w:lineRule="atLeast"/>
              <w:rPr>
                <w:rFonts w:ascii="Times New Roman" w:hAnsi="Times New Roman" w:eastAsia="Times New Roman"/>
                <w:sz w:val="21"/>
              </w:rPr>
            </w:pPr>
          </w:p>
        </w:tc>
        <w:tc>
          <w:tcPr>
            <w:tcW w:w="3911" w:type="dxa"/>
            <w:vMerge w:val="continue"/>
            <w:shd w:val="clear" w:color="auto" w:fill="E9EDFC"/>
            <w:vAlign w:val="bottom"/>
          </w:tcPr>
          <w:p>
            <w:pPr>
              <w:spacing w:line="0" w:lineRule="atLeast"/>
              <w:rPr>
                <w:rFonts w:ascii="Times New Roman" w:hAnsi="Times New Roman" w:eastAsia="Times New Roman"/>
                <w:sz w:val="21"/>
              </w:rPr>
            </w:pPr>
          </w:p>
        </w:tc>
        <w:tc>
          <w:tcPr>
            <w:tcW w:w="3256" w:type="dxa"/>
            <w:vMerge w:val="continue"/>
            <w:shd w:val="clear" w:color="auto" w:fill="E9EDFC"/>
            <w:vAlign w:val="bottom"/>
          </w:tcPr>
          <w:p>
            <w:pPr>
              <w:spacing w:line="0" w:lineRule="atLeast"/>
              <w:rPr>
                <w:rFonts w:ascii="Times New Roman" w:hAnsi="Times New Roman" w:eastAsia="Times New Roman"/>
                <w:sz w:val="21"/>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5" w:hRule="atLeast"/>
        </w:trPr>
        <w:tc>
          <w:tcPr>
            <w:tcW w:w="2058" w:type="dxa"/>
            <w:shd w:val="clear" w:color="auto" w:fill="E9EDFC"/>
            <w:vAlign w:val="bottom"/>
          </w:tcPr>
          <w:p>
            <w:pPr>
              <w:spacing w:line="0" w:lineRule="atLeast"/>
              <w:rPr>
                <w:rFonts w:ascii="Times New Roman" w:hAnsi="Times New Roman" w:eastAsia="Times New Roman"/>
              </w:rPr>
            </w:pPr>
          </w:p>
        </w:tc>
        <w:tc>
          <w:tcPr>
            <w:tcW w:w="3911" w:type="dxa"/>
            <w:shd w:val="clear" w:color="auto" w:fill="E9EDFC"/>
            <w:vAlign w:val="bottom"/>
          </w:tcPr>
          <w:p>
            <w:pPr>
              <w:spacing w:line="0" w:lineRule="atLeast"/>
              <w:rPr>
                <w:rFonts w:ascii="Times New Roman" w:hAnsi="Times New Roman" w:eastAsia="Times New Roman"/>
              </w:rPr>
            </w:pPr>
          </w:p>
        </w:tc>
        <w:tc>
          <w:tcPr>
            <w:tcW w:w="3256" w:type="dxa"/>
            <w:shd w:val="clear" w:color="auto" w:fill="E9EDFC"/>
            <w:vAlign w:val="bottom"/>
          </w:tcPr>
          <w:p>
            <w:pPr>
              <w:spacing w:line="0" w:lineRule="atLeast"/>
              <w:rPr>
                <w:rFonts w:ascii="Times New Roman" w:hAnsi="Times New Roman" w:eastAsia="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01" w:hRule="atLeast"/>
        </w:trPr>
        <w:tc>
          <w:tcPr>
            <w:tcW w:w="2058" w:type="dxa"/>
            <w:shd w:val="clear" w:color="auto" w:fill="CFD9FA"/>
            <w:vAlign w:val="bottom"/>
          </w:tcPr>
          <w:p>
            <w:pPr>
              <w:spacing w:line="0" w:lineRule="atLeast"/>
              <w:rPr>
                <w:rFonts w:ascii="Times New Roman" w:hAnsi="Times New Roman" w:eastAsia="Times New Roman"/>
                <w:sz w:val="24"/>
              </w:rPr>
            </w:pPr>
          </w:p>
        </w:tc>
        <w:tc>
          <w:tcPr>
            <w:tcW w:w="3911" w:type="dxa"/>
            <w:shd w:val="clear" w:color="auto" w:fill="CFD9FA"/>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用户可进行广泛浏览；</w:t>
            </w:r>
          </w:p>
        </w:tc>
        <w:tc>
          <w:tcPr>
            <w:tcW w:w="3256" w:type="dxa"/>
            <w:shd w:val="clear" w:color="auto" w:fill="CFD9FA"/>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01" w:hRule="atLeast"/>
        </w:trPr>
        <w:tc>
          <w:tcPr>
            <w:tcW w:w="2058" w:type="dxa"/>
            <w:shd w:val="clear" w:color="auto" w:fill="CFD9FA"/>
            <w:vAlign w:val="bottom"/>
          </w:tcPr>
          <w:p>
            <w:pPr>
              <w:spacing w:line="0" w:lineRule="atLeast"/>
              <w:ind w:left="780"/>
              <w:rPr>
                <w:rFonts w:ascii="微软雅黑" w:hAnsi="微软雅黑" w:eastAsia="微软雅黑"/>
                <w:sz w:val="32"/>
              </w:rPr>
            </w:pPr>
            <w:r>
              <w:rPr>
                <w:rFonts w:ascii="微软雅黑" w:hAnsi="微软雅黑" w:eastAsia="微软雅黑"/>
                <w:sz w:val="32"/>
              </w:rPr>
              <w:t>M站</w:t>
            </w:r>
          </w:p>
        </w:tc>
        <w:tc>
          <w:tcPr>
            <w:tcW w:w="3911" w:type="dxa"/>
            <w:vMerge w:val="restart"/>
            <w:shd w:val="clear" w:color="auto" w:fill="CFD9FA"/>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开发技术简单，开发周期短、成本低</w:t>
            </w:r>
          </w:p>
        </w:tc>
        <w:tc>
          <w:tcPr>
            <w:tcW w:w="3256" w:type="dxa"/>
            <w:shd w:val="clear" w:color="auto" w:fill="CFD9FA"/>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能力弱、体验差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43" w:hRule="atLeast"/>
        </w:trPr>
        <w:tc>
          <w:tcPr>
            <w:tcW w:w="2058" w:type="dxa"/>
            <w:shd w:val="clear" w:color="auto" w:fill="CFD9FA"/>
            <w:vAlign w:val="bottom"/>
          </w:tcPr>
          <w:p>
            <w:pPr>
              <w:spacing w:line="0" w:lineRule="atLeast"/>
              <w:rPr>
                <w:rFonts w:ascii="Times New Roman" w:hAnsi="Times New Roman" w:eastAsia="Times New Roman"/>
                <w:sz w:val="21"/>
              </w:rPr>
            </w:pPr>
          </w:p>
        </w:tc>
        <w:tc>
          <w:tcPr>
            <w:tcW w:w="3911" w:type="dxa"/>
            <w:vMerge w:val="continue"/>
            <w:shd w:val="clear" w:color="auto" w:fill="CFD9FA"/>
            <w:vAlign w:val="bottom"/>
          </w:tcPr>
          <w:p>
            <w:pPr>
              <w:spacing w:line="0" w:lineRule="atLeast"/>
              <w:rPr>
                <w:rFonts w:ascii="Times New Roman" w:hAnsi="Times New Roman" w:eastAsia="Times New Roman"/>
                <w:sz w:val="21"/>
              </w:rPr>
            </w:pPr>
          </w:p>
        </w:tc>
        <w:tc>
          <w:tcPr>
            <w:tcW w:w="3256" w:type="dxa"/>
            <w:shd w:val="clear" w:color="auto" w:fill="CFD9FA"/>
            <w:vAlign w:val="bottom"/>
          </w:tcPr>
          <w:p>
            <w:pPr>
              <w:spacing w:line="0" w:lineRule="atLeast"/>
              <w:rPr>
                <w:rFonts w:ascii="Times New Roman" w:hAnsi="Times New Roman" w:eastAsia="Times New Roman"/>
                <w:sz w:val="21"/>
              </w:rPr>
            </w:pPr>
          </w:p>
        </w:tc>
      </w:tr>
      <w:tr>
        <w:tblPrEx>
          <w:tblLayout w:type="fixed"/>
          <w:tblCellMar>
            <w:top w:w="0" w:type="dxa"/>
            <w:left w:w="0" w:type="dxa"/>
            <w:bottom w:w="0" w:type="dxa"/>
            <w:right w:w="0" w:type="dxa"/>
          </w:tblCellMar>
        </w:tblPrEx>
        <w:trPr>
          <w:trHeight w:val="235" w:hRule="atLeast"/>
        </w:trPr>
        <w:tc>
          <w:tcPr>
            <w:tcW w:w="2058" w:type="dxa"/>
            <w:shd w:val="clear" w:color="auto" w:fill="CFD9FA"/>
            <w:vAlign w:val="bottom"/>
          </w:tcPr>
          <w:p>
            <w:pPr>
              <w:spacing w:line="0" w:lineRule="atLeast"/>
              <w:rPr>
                <w:rFonts w:ascii="Times New Roman" w:hAnsi="Times New Roman" w:eastAsia="Times New Roman"/>
              </w:rPr>
            </w:pPr>
          </w:p>
        </w:tc>
        <w:tc>
          <w:tcPr>
            <w:tcW w:w="3911" w:type="dxa"/>
            <w:shd w:val="clear" w:color="auto" w:fill="CFD9FA"/>
            <w:vAlign w:val="bottom"/>
          </w:tcPr>
          <w:p>
            <w:pPr>
              <w:spacing w:line="0" w:lineRule="atLeast"/>
              <w:rPr>
                <w:rFonts w:ascii="Times New Roman" w:hAnsi="Times New Roman" w:eastAsia="Times New Roman"/>
              </w:rPr>
            </w:pPr>
          </w:p>
        </w:tc>
        <w:tc>
          <w:tcPr>
            <w:tcW w:w="3256" w:type="dxa"/>
            <w:shd w:val="clear" w:color="auto" w:fill="CFD9FA"/>
            <w:vAlign w:val="bottom"/>
          </w:tcPr>
          <w:p>
            <w:pPr>
              <w:spacing w:line="0" w:lineRule="atLeast"/>
              <w:rPr>
                <w:rFonts w:ascii="Times New Roman" w:hAnsi="Times New Roman" w:eastAsia="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68" w:hRule="atLeast"/>
        </w:trPr>
        <w:tc>
          <w:tcPr>
            <w:tcW w:w="2058" w:type="dxa"/>
            <w:shd w:val="clear" w:color="auto" w:fill="E9EDFC"/>
            <w:vAlign w:val="bottom"/>
          </w:tcPr>
          <w:p>
            <w:pPr>
              <w:spacing w:line="0" w:lineRule="atLeast"/>
              <w:jc w:val="center"/>
              <w:rPr>
                <w:rFonts w:ascii="微软雅黑" w:hAnsi="微软雅黑" w:eastAsia="微软雅黑"/>
                <w:w w:val="99"/>
                <w:sz w:val="32"/>
              </w:rPr>
            </w:pPr>
            <w:r>
              <w:rPr>
                <w:rFonts w:ascii="微软雅黑" w:hAnsi="微软雅黑" w:eastAsia="微软雅黑"/>
                <w:w w:val="99"/>
                <w:sz w:val="32"/>
              </w:rPr>
              <w:t>微店</w:t>
            </w:r>
          </w:p>
        </w:tc>
        <w:tc>
          <w:tcPr>
            <w:tcW w:w="3911" w:type="dxa"/>
            <w:shd w:val="clear" w:color="auto" w:fill="E9EDFC"/>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购物方便快捷、适合小型卖家</w:t>
            </w:r>
          </w:p>
        </w:tc>
        <w:tc>
          <w:tcPr>
            <w:tcW w:w="3256" w:type="dxa"/>
            <w:shd w:val="clear" w:color="auto" w:fill="E9EDFC"/>
            <w:vAlign w:val="bottom"/>
          </w:tcPr>
          <w:p>
            <w:pPr>
              <w:spacing w:line="0" w:lineRule="atLeast"/>
              <w:jc w:val="center"/>
              <w:rPr>
                <w:rFonts w:ascii="微软雅黑" w:hAnsi="微软雅黑" w:eastAsia="微软雅黑"/>
                <w:w w:val="99"/>
                <w:sz w:val="28"/>
              </w:rPr>
            </w:pPr>
            <w:r>
              <w:rPr>
                <w:rFonts w:ascii="微软雅黑" w:hAnsi="微软雅黑" w:eastAsia="微软雅黑"/>
                <w:w w:val="99"/>
                <w:sz w:val="28"/>
              </w:rPr>
              <w:t>可承品类较少、用户不固定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8" w:hRule="atLeast"/>
        </w:trPr>
        <w:tc>
          <w:tcPr>
            <w:tcW w:w="2058" w:type="dxa"/>
            <w:shd w:val="clear" w:color="auto" w:fill="E9EDFC"/>
            <w:vAlign w:val="bottom"/>
          </w:tcPr>
          <w:p>
            <w:pPr>
              <w:spacing w:line="0" w:lineRule="atLeast"/>
              <w:rPr>
                <w:rFonts w:ascii="Times New Roman" w:hAnsi="Times New Roman" w:eastAsia="Times New Roman"/>
              </w:rPr>
            </w:pPr>
          </w:p>
        </w:tc>
        <w:tc>
          <w:tcPr>
            <w:tcW w:w="3911" w:type="dxa"/>
            <w:shd w:val="clear" w:color="auto" w:fill="E9EDFC"/>
            <w:vAlign w:val="bottom"/>
          </w:tcPr>
          <w:p>
            <w:pPr>
              <w:spacing w:line="0" w:lineRule="atLeast"/>
              <w:rPr>
                <w:rFonts w:ascii="Times New Roman" w:hAnsi="Times New Roman" w:eastAsia="Times New Roman"/>
              </w:rPr>
            </w:pPr>
          </w:p>
        </w:tc>
        <w:tc>
          <w:tcPr>
            <w:tcW w:w="3256" w:type="dxa"/>
            <w:shd w:val="clear" w:color="auto" w:fill="E9EDFC"/>
            <w:vAlign w:val="bottom"/>
          </w:tcPr>
          <w:p>
            <w:pPr>
              <w:spacing w:line="0" w:lineRule="atLeast"/>
              <w:rPr>
                <w:rFonts w:ascii="Times New Roman" w:hAnsi="Times New Roman" w:eastAsia="Times New Roma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9" w:hRule="atLeast"/>
        </w:trPr>
        <w:tc>
          <w:tcPr>
            <w:tcW w:w="2058" w:type="dxa"/>
            <w:shd w:val="clear" w:color="auto" w:fill="CFD9FA"/>
            <w:vAlign w:val="bottom"/>
          </w:tcPr>
          <w:p>
            <w:pPr>
              <w:spacing w:line="0" w:lineRule="atLeast"/>
              <w:rPr>
                <w:rFonts w:ascii="Times New Roman" w:hAnsi="Times New Roman" w:eastAsia="Times New Roman"/>
                <w:sz w:val="24"/>
              </w:rPr>
            </w:pPr>
          </w:p>
        </w:tc>
        <w:tc>
          <w:tcPr>
            <w:tcW w:w="3911" w:type="dxa"/>
            <w:shd w:val="clear" w:color="auto" w:fill="CFD9FA"/>
            <w:vAlign w:val="bottom"/>
          </w:tcPr>
          <w:p>
            <w:pPr>
              <w:spacing w:line="368" w:lineRule="exact"/>
              <w:jc w:val="center"/>
              <w:rPr>
                <w:rFonts w:ascii="微软雅黑" w:hAnsi="微软雅黑" w:eastAsia="微软雅黑"/>
                <w:w w:val="99"/>
                <w:sz w:val="28"/>
              </w:rPr>
            </w:pPr>
            <w:r>
              <w:rPr>
                <w:rFonts w:ascii="微软雅黑" w:hAnsi="微软雅黑" w:eastAsia="微软雅黑"/>
                <w:w w:val="99"/>
                <w:sz w:val="28"/>
              </w:rPr>
              <w:t>页面展现灵活多变、制作相对简单；</w:t>
            </w:r>
          </w:p>
        </w:tc>
        <w:tc>
          <w:tcPr>
            <w:tcW w:w="3256" w:type="dxa"/>
            <w:shd w:val="clear" w:color="auto" w:fill="CFD9FA"/>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atLeast"/>
        </w:trPr>
        <w:tc>
          <w:tcPr>
            <w:tcW w:w="2058" w:type="dxa"/>
            <w:vMerge w:val="restart"/>
            <w:shd w:val="clear" w:color="auto" w:fill="CFD9FA"/>
            <w:vAlign w:val="bottom"/>
          </w:tcPr>
          <w:p>
            <w:pPr>
              <w:spacing w:line="0" w:lineRule="atLeast"/>
              <w:jc w:val="center"/>
              <w:rPr>
                <w:rFonts w:ascii="微软雅黑" w:hAnsi="微软雅黑" w:eastAsia="微软雅黑"/>
                <w:sz w:val="32"/>
              </w:rPr>
            </w:pPr>
            <w:r>
              <w:rPr>
                <w:rFonts w:ascii="微软雅黑" w:hAnsi="微软雅黑" w:eastAsia="微软雅黑"/>
                <w:sz w:val="32"/>
              </w:rPr>
              <w:t>H5</w:t>
            </w:r>
          </w:p>
        </w:tc>
        <w:tc>
          <w:tcPr>
            <w:tcW w:w="3911" w:type="dxa"/>
            <w:shd w:val="clear" w:color="auto" w:fill="CFD9FA"/>
            <w:vAlign w:val="bottom"/>
          </w:tcPr>
          <w:p>
            <w:pPr>
              <w:spacing w:line="0" w:lineRule="atLeast"/>
              <w:rPr>
                <w:rFonts w:ascii="Times New Roman" w:hAnsi="Times New Roman" w:eastAsia="Times New Roman"/>
                <w:sz w:val="24"/>
              </w:rPr>
            </w:pPr>
          </w:p>
        </w:tc>
        <w:tc>
          <w:tcPr>
            <w:tcW w:w="3256" w:type="dxa"/>
            <w:shd w:val="clear" w:color="auto" w:fill="CFD9FA"/>
            <w:vAlign w:val="bottom"/>
          </w:tcPr>
          <w:p>
            <w:pPr>
              <w:spacing w:line="368" w:lineRule="exact"/>
              <w:jc w:val="center"/>
              <w:rPr>
                <w:rFonts w:ascii="微软雅黑" w:hAnsi="微软雅黑" w:eastAsia="微软雅黑"/>
                <w:w w:val="99"/>
                <w:sz w:val="28"/>
              </w:rPr>
            </w:pPr>
            <w:r>
              <w:rPr>
                <w:rFonts w:ascii="微软雅黑" w:hAnsi="微软雅黑" w:eastAsia="微软雅黑"/>
                <w:w w:val="99"/>
                <w:sz w:val="28"/>
              </w:rPr>
              <w:t>复用率低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atLeast"/>
        </w:trPr>
        <w:tc>
          <w:tcPr>
            <w:tcW w:w="2058" w:type="dxa"/>
            <w:vMerge w:val="continue"/>
            <w:shd w:val="clear" w:color="auto" w:fill="CFD9FA"/>
            <w:vAlign w:val="bottom"/>
          </w:tcPr>
          <w:p>
            <w:pPr>
              <w:spacing w:line="0" w:lineRule="atLeast"/>
              <w:rPr>
                <w:rFonts w:ascii="Times New Roman" w:hAnsi="Times New Roman" w:eastAsia="Times New Roman"/>
                <w:sz w:val="24"/>
              </w:rPr>
            </w:pPr>
          </w:p>
        </w:tc>
        <w:tc>
          <w:tcPr>
            <w:tcW w:w="3911" w:type="dxa"/>
            <w:shd w:val="clear" w:color="auto" w:fill="CFD9FA"/>
            <w:vAlign w:val="bottom"/>
          </w:tcPr>
          <w:p>
            <w:pPr>
              <w:spacing w:line="368" w:lineRule="exact"/>
              <w:jc w:val="center"/>
              <w:rPr>
                <w:rFonts w:ascii="微软雅黑" w:hAnsi="微软雅黑" w:eastAsia="微软雅黑"/>
                <w:w w:val="99"/>
                <w:sz w:val="28"/>
              </w:rPr>
            </w:pPr>
            <w:r>
              <w:rPr>
                <w:rFonts w:ascii="微软雅黑" w:hAnsi="微软雅黑" w:eastAsia="微软雅黑"/>
                <w:w w:val="99"/>
                <w:sz w:val="28"/>
              </w:rPr>
              <w:t>易于形成二次传播</w:t>
            </w:r>
          </w:p>
        </w:tc>
        <w:tc>
          <w:tcPr>
            <w:tcW w:w="3256" w:type="dxa"/>
            <w:shd w:val="clear" w:color="auto" w:fill="CFD9FA"/>
            <w:vAlign w:val="bottom"/>
          </w:tcPr>
          <w:p>
            <w:pPr>
              <w:spacing w:line="0" w:lineRule="atLeast"/>
              <w:rPr>
                <w:rFonts w:ascii="Times New Roman" w:hAnsi="Times New Roman" w:eastAsia="Times New Roman"/>
                <w:sz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34" w:hRule="atLeast"/>
        </w:trPr>
        <w:tc>
          <w:tcPr>
            <w:tcW w:w="2058" w:type="dxa"/>
            <w:shd w:val="clear" w:color="auto" w:fill="CFD9FA"/>
            <w:vAlign w:val="bottom"/>
          </w:tcPr>
          <w:p>
            <w:pPr>
              <w:spacing w:line="0" w:lineRule="atLeast"/>
              <w:rPr>
                <w:rFonts w:ascii="Times New Roman" w:hAnsi="Times New Roman" w:eastAsia="Times New Roman"/>
              </w:rPr>
            </w:pPr>
          </w:p>
        </w:tc>
        <w:tc>
          <w:tcPr>
            <w:tcW w:w="3911" w:type="dxa"/>
            <w:shd w:val="clear" w:color="auto" w:fill="CFD9FA"/>
            <w:vAlign w:val="bottom"/>
          </w:tcPr>
          <w:p>
            <w:pPr>
              <w:spacing w:line="0" w:lineRule="atLeast"/>
              <w:rPr>
                <w:rFonts w:ascii="Times New Roman" w:hAnsi="Times New Roman" w:eastAsia="Times New Roman"/>
              </w:rPr>
            </w:pPr>
          </w:p>
        </w:tc>
        <w:tc>
          <w:tcPr>
            <w:tcW w:w="3256" w:type="dxa"/>
            <w:shd w:val="clear" w:color="auto" w:fill="CFD9FA"/>
            <w:vAlign w:val="bottom"/>
          </w:tcPr>
          <w:p>
            <w:pPr>
              <w:spacing w:line="0" w:lineRule="atLeast"/>
              <w:rPr>
                <w:rFonts w:ascii="Times New Roman" w:hAnsi="Times New Roman" w:eastAsia="Times New Roman"/>
              </w:rPr>
            </w:pPr>
          </w:p>
        </w:tc>
      </w:tr>
    </w:tbl>
    <w:p>
      <w:pPr>
        <w:jc w:val="both"/>
        <w:rPr>
          <w:rFonts w:hint="eastAsia" w:ascii="宋体" w:hAnsi="宋体" w:eastAsia="宋体" w:cs="宋体"/>
          <w:b w:val="0"/>
          <w:bCs w:val="0"/>
          <w:sz w:val="28"/>
          <w:szCs w:val="28"/>
          <w:lang w:val="en-US" w:eastAsia="zh-CN"/>
        </w:rPr>
      </w:pPr>
    </w:p>
    <w:p>
      <w:pPr>
        <w:jc w:val="both"/>
        <w:rPr>
          <w:rFonts w:hint="eastAsia" w:ascii="宋体" w:hAnsi="宋体" w:eastAsia="宋体" w:cs="宋体"/>
          <w:b w:val="0"/>
          <w:bCs w:val="0"/>
          <w:sz w:val="28"/>
          <w:szCs w:val="28"/>
          <w:lang w:val="en-US" w:eastAsia="zh-CN"/>
        </w:rPr>
      </w:pPr>
    </w:p>
    <w:p>
      <w:pPr>
        <w:jc w:val="both"/>
        <w:rPr>
          <w:rFonts w:hint="eastAsia" w:ascii="宋体" w:hAnsi="宋体" w:eastAsia="宋体" w:cs="宋体"/>
          <w:b w:val="0"/>
          <w:bCs w:val="0"/>
          <w:sz w:val="28"/>
          <w:szCs w:val="28"/>
          <w:lang w:val="en-US" w:eastAsia="zh-CN"/>
        </w:rPr>
      </w:pPr>
    </w:p>
    <w:p>
      <w:pPr>
        <w:jc w:val="both"/>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技能提升</w:t>
      </w:r>
    </w:p>
    <w:p>
      <w:pPr>
        <w:ind w:firstLine="560" w:firstLineChars="200"/>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根据所学内容，在线上对各种载体进行体验，对产品载体有直观感受和认知，在此基础上概括和分析各种载体的特点。完成产品载体的分析报告。</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实训要求：</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① 整体要求：对各种产品载体有直观认知；</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② 分析、总结每种载体的特质；</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③ 合理选择产品载体。</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实训步骤：</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① 明确需要体验的载体有哪些</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② 通过线上各个平台去体验每一种产品载体</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③ 分析载体的特征以及适用的场景</w:t>
      </w:r>
    </w:p>
    <w:p>
      <w:pPr>
        <w:jc w:val="both"/>
        <w:rPr>
          <w:rFonts w:hint="eastAsia" w:ascii="宋体" w:hAnsi="宋体" w:eastAsia="宋体" w:cs="宋体"/>
          <w:b w:val="0"/>
          <w:bCs w:val="0"/>
          <w:sz w:val="28"/>
          <w:szCs w:val="28"/>
          <w:lang w:val="en-US" w:eastAsia="zh-CN"/>
        </w:rPr>
      </w:pPr>
      <w:r>
        <w:rPr>
          <w:rFonts w:hint="eastAsia" w:ascii="宋体" w:hAnsi="宋体" w:eastAsia="宋体" w:cs="宋体"/>
          <w:b w:val="0"/>
          <w:bCs w:val="0"/>
          <w:sz w:val="28"/>
          <w:szCs w:val="28"/>
          <w:lang w:val="en-US" w:eastAsia="zh-CN"/>
        </w:rPr>
        <w:t>④ 整理分析结果，完成报告。</w:t>
      </w:r>
    </w:p>
    <w:p>
      <w:bookmarkStart w:id="4" w:name="_GoBack"/>
      <w:bookmarkEnd w:id="4"/>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A0000287" w:usb1="28C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1EA871"/>
    <w:multiLevelType w:val="singleLevel"/>
    <w:tmpl w:val="5A1EA871"/>
    <w:lvl w:ilvl="0" w:tentative="0">
      <w:start w:val="2"/>
      <w:numFmt w:val="chineseCounting"/>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7BDD57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uiPriority w:val="0"/>
  </w:style>
  <w:style w:type="table" w:default="1" w:styleId="2">
    <w:name w:val="Normal Table"/>
    <w:semiHidden/>
    <w:uiPriority w:val="0"/>
    <w:tblPr>
      <w:tblLayout w:type="fixed"/>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acer</dc:creator>
  <cp:lastModifiedBy>   无名</cp:lastModifiedBy>
  <dcterms:modified xsi:type="dcterms:W3CDTF">2019-02-14T06:40:35Z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2052-11.1.0.8412</vt:lpwstr>
  </property>
</Properties>
</file>