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1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日照职业技术学院课程整体设计方案</w:t>
      </w:r>
    </w:p>
    <w:p>
      <w:pPr>
        <w:pStyle w:val="5"/>
        <w:rPr>
          <w:rFonts w:hint="eastAsia"/>
        </w:rPr>
      </w:pPr>
      <w:r>
        <w:rPr>
          <w:rFonts w:hint="eastAsia"/>
        </w:rPr>
        <w:t>一、课程设计</w:t>
      </w:r>
    </w:p>
    <w:tbl>
      <w:tblPr>
        <w:tblStyle w:val="2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73"/>
        <w:gridCol w:w="2424"/>
        <w:gridCol w:w="1097"/>
        <w:gridCol w:w="2750"/>
        <w:gridCol w:w="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商务英语视听说（下）</w:t>
            </w: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课程类型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专业基础课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级国际商务专业</w:t>
            </w: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学时学分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学时  4  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先修课程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商务英语听力</w:t>
            </w: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后修课程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</w:t>
            </w:r>
          </w:p>
        </w:tc>
        <w:tc>
          <w:tcPr>
            <w:tcW w:w="7836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能力目标：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提高学生的商务实战操作能力及与国外客户的沟通交往能力。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知识目标：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通过学习本门课程，掌握公司日常商务活动背景知识及国贸流程各环知识，熟练相关的英语表达方式。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素质目标：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培养听说读写综合素质及中西文化差异理念。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课程内容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学习单元（学习情境或项目）名称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T</w:t>
            </w:r>
            <w:r>
              <w:rPr>
                <w:rFonts w:hint="eastAsia"/>
                <w:bCs/>
                <w:szCs w:val="21"/>
              </w:rPr>
              <w:t xml:space="preserve">rade Fairs 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A Factory Tour 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Making Enquires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Negotiating Prices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Placing an Order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Terms of Payment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Delivery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Complaints and Claims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Marketing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6271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Advertising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</w:tbl>
    <w:p/>
    <w:tbl>
      <w:tblPr>
        <w:tblStyle w:val="2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教学材料</w:t>
            </w:r>
          </w:p>
        </w:tc>
        <w:tc>
          <w:tcPr>
            <w:tcW w:w="783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教材采用的是马龙海主编的《新视野商务英语视听说》，有配套的CD-ROM,包括相应的视频和音频，在多媒体教室进行授课。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织形式</w:t>
            </w:r>
          </w:p>
        </w:tc>
        <w:tc>
          <w:tcPr>
            <w:tcW w:w="783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采用的是班级授课的组织形式，在学期初对学生们进行了分组，大组是六个成员，方便进行模拟训练，小组是两个成员，方便讨论和对话练习。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考核方案</w:t>
            </w:r>
          </w:p>
        </w:tc>
        <w:tc>
          <w:tcPr>
            <w:tcW w:w="783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采取过程性考核。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学习态度占40%，包括出勤、课堂表现。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作业和任务考核占60%，共四次作业，每次15分，作业以纸质形式或是视频形式呈现。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需要说明的其他问题</w:t>
            </w:r>
          </w:p>
        </w:tc>
        <w:tc>
          <w:tcPr>
            <w:tcW w:w="783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情分析：本课程的讲授对象是国际商务专业大二的学生，第一学年开设的听力和口语课程作为铺垫，有利于学生更快的向商务英语视听说过度。本专业的学生学习态度很端正，对学好英语有很强烈的欲望。部分同学的英语基础薄弱，发音较差，对听和说都形成了障碍。部分学生缺乏参与意识，习惯被动听讲，学习主动性较差，应用能力不强。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rPr>
          <w:rFonts w:hint="eastAsia"/>
          <w:szCs w:val="21"/>
        </w:rPr>
      </w:pPr>
      <w:r>
        <w:rPr>
          <w:rFonts w:hint="eastAsia"/>
        </w:rPr>
        <w:t>二、教学项目设计</w:t>
      </w:r>
      <w:r>
        <w:rPr>
          <w:rFonts w:hint="eastAsia"/>
          <w:szCs w:val="21"/>
        </w:rPr>
        <w:t xml:space="preserve"> </w:t>
      </w:r>
    </w:p>
    <w:tbl>
      <w:tblPr>
        <w:tblStyle w:val="2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60"/>
        <w:gridCol w:w="490"/>
        <w:gridCol w:w="2210"/>
        <w:gridCol w:w="1489"/>
        <w:gridCol w:w="968"/>
        <w:gridCol w:w="968"/>
        <w:gridCol w:w="1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能力目标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主要支撑知识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方式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Trade Fairs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To develop skills to participate in a trade fair and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 xml:space="preserve">introduce the company and </w:t>
            </w:r>
            <w:r>
              <w:rPr>
                <w:color w:val="333333"/>
                <w:kern w:val="0"/>
                <w:sz w:val="24"/>
              </w:rPr>
              <w:t>products</w:t>
            </w:r>
            <w:r>
              <w:rPr>
                <w:rFonts w:hint="eastAsia"/>
                <w:color w:val="333333"/>
                <w:kern w:val="0"/>
                <w:sz w:val="24"/>
              </w:rPr>
              <w:t>.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 Factory Tour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 xml:space="preserve">To develop skills to introduce the company and </w:t>
            </w:r>
            <w:r>
              <w:rPr>
                <w:color w:val="333333"/>
                <w:kern w:val="0"/>
                <w:sz w:val="24"/>
              </w:rPr>
              <w:t>products</w:t>
            </w:r>
            <w:r>
              <w:rPr>
                <w:rFonts w:hint="eastAsia"/>
                <w:color w:val="333333"/>
                <w:kern w:val="0"/>
                <w:sz w:val="24"/>
              </w:rPr>
              <w:t xml:space="preserve"> and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guide the visitors to visit the company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Making Enquires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To develop skills to make an enquiry,</w:t>
            </w:r>
          </w:p>
          <w:p>
            <w:pPr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answer an enquiry and make and respond to an offer.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Negotiating Prices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 xml:space="preserve">To develop negotiating skills to start a negotiation, express agreement and </w:t>
            </w:r>
            <w:r>
              <w:rPr>
                <w:color w:val="333333"/>
                <w:kern w:val="0"/>
                <w:sz w:val="24"/>
              </w:rPr>
              <w:t>disagreement</w:t>
            </w:r>
            <w:r>
              <w:rPr>
                <w:rFonts w:hint="eastAsia"/>
                <w:color w:val="333333"/>
                <w:kern w:val="0"/>
                <w:sz w:val="24"/>
              </w:rPr>
              <w:t xml:space="preserve"> and negotiate prices, discounts and </w:t>
            </w:r>
            <w:r>
              <w:rPr>
                <w:color w:val="333333"/>
                <w:kern w:val="0"/>
                <w:sz w:val="24"/>
              </w:rPr>
              <w:t>commission</w:t>
            </w:r>
            <w:r>
              <w:rPr>
                <w:rFonts w:hint="eastAsia"/>
                <w:color w:val="333333"/>
                <w:kern w:val="0"/>
                <w:sz w:val="24"/>
              </w:rPr>
              <w:t>.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Placing an Order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To develop negotiating skills to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talk about some of the general terms related to orders and contracts.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Terms of Payment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To develop negotiating skills to</w:t>
            </w:r>
          </w:p>
          <w:p>
            <w:pPr>
              <w:ind w:firstLine="480" w:firstLineChars="200"/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 xml:space="preserve">talk about different modes of payment and recommend the use of an </w:t>
            </w:r>
            <w:r>
              <w:rPr>
                <w:rFonts w:hint="eastAsia" w:eastAsia="仿宋_GB2312"/>
                <w:sz w:val="24"/>
              </w:rPr>
              <w:t>L/C</w:t>
            </w:r>
            <w:r>
              <w:rPr>
                <w:rFonts w:hint="eastAsia"/>
                <w:color w:val="333333"/>
                <w:kern w:val="0"/>
                <w:sz w:val="24"/>
              </w:rPr>
              <w:t>.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Delivery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To develop negotiating skills to ask for an early delivery, settle delivery dates and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discuss problems related to delivery dates.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Complaints and Claims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 xml:space="preserve">To develop communication skills to make a complaint or a claim and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respond to a complaint or a claim.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Marketing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4"/>
                <w:lang w:val="en-US" w:eastAsia="zh-CN"/>
              </w:rPr>
              <w:t>Develop the marketing plans</w:t>
            </w:r>
          </w:p>
          <w:p>
            <w:pPr>
              <w:spacing w:line="240" w:lineRule="exact"/>
              <w:jc w:val="center"/>
              <w:rPr>
                <w:rFonts w:hint="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4"/>
                <w:lang w:val="en-US" w:eastAsia="zh-CN"/>
              </w:rPr>
              <w:t>Describe marketing results</w:t>
            </w:r>
          </w:p>
          <w:p>
            <w:pPr>
              <w:spacing w:line="240" w:lineRule="exact"/>
              <w:jc w:val="center"/>
              <w:rPr>
                <w:rFonts w:hint="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4"/>
                <w:lang w:val="en-US" w:eastAsia="zh-CN"/>
              </w:rPr>
              <w:t>Make marketing predictions</w:t>
            </w:r>
          </w:p>
          <w:p>
            <w:pPr>
              <w:spacing w:line="240" w:lineRule="exact"/>
              <w:jc w:val="center"/>
              <w:rPr>
                <w:rFonts w:hint="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spacing w:before="156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Advertising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4"/>
                <w:lang w:val="en-US" w:eastAsia="zh-CN"/>
              </w:rPr>
              <w:t>Understand an advertisement</w:t>
            </w:r>
          </w:p>
          <w:p>
            <w:pPr>
              <w:spacing w:line="240" w:lineRule="exact"/>
              <w:jc w:val="left"/>
              <w:rPr>
                <w:rFonts w:hint="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4"/>
                <w:lang w:val="en-US" w:eastAsia="zh-CN"/>
              </w:rPr>
              <w:t>Judge the effectiveness of an advertisement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跟读法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角色扮演法</w:t>
            </w:r>
          </w:p>
        </w:tc>
        <w:tc>
          <w:tcPr>
            <w:tcW w:w="968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5"/>
        <w:ind w:firstLine="0" w:firstLineChars="0"/>
        <w:rPr>
          <w:rFonts w:hint="eastAsia"/>
          <w:szCs w:val="21"/>
        </w:rPr>
      </w:pPr>
    </w:p>
    <w:p>
      <w:pPr>
        <w:pStyle w:val="5"/>
        <w:rPr>
          <w:rFonts w:hint="eastAsia"/>
        </w:rPr>
      </w:pPr>
      <w:r>
        <w:rPr>
          <w:rFonts w:hint="eastAsia"/>
        </w:rPr>
        <w:t>三、教学进度表</w:t>
      </w:r>
    </w:p>
    <w:p>
      <w:pPr>
        <w:pStyle w:val="6"/>
        <w:spacing w:line="20" w:lineRule="exact"/>
        <w:rPr>
          <w:rFonts w:hint="eastAsia"/>
        </w:rPr>
      </w:pPr>
      <w:r>
        <w:rPr>
          <w:rFonts w:hint="eastAsia"/>
        </w:rPr>
        <w:t>10</w:t>
      </w:r>
    </w:p>
    <w:p>
      <w:pPr>
        <w:pStyle w:val="6"/>
        <w:spacing w:line="20" w:lineRule="exact"/>
        <w:rPr>
          <w:rFonts w:hint="eastAsia"/>
        </w:rPr>
      </w:pPr>
    </w:p>
    <w:tbl>
      <w:tblPr>
        <w:tblStyle w:val="2"/>
        <w:tblW w:w="84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050"/>
        <w:gridCol w:w="2722"/>
        <w:gridCol w:w="1138"/>
        <w:gridCol w:w="930"/>
        <w:gridCol w:w="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单元标题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主要教学内容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教学组织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形式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形式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Trade Fairs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tabs>
                <w:tab w:val="left" w:pos="0"/>
              </w:tabs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 Factory Tour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Making Enquires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Negotiating Prices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Placing an Order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Terms of Payment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Delivery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Complaints and Claims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Marketing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2050" w:type="dxa"/>
            <w:vAlign w:val="center"/>
          </w:tcPr>
          <w:p>
            <w:pPr>
              <w:spacing w:before="156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Advertising</w:t>
            </w:r>
          </w:p>
        </w:tc>
        <w:tc>
          <w:tcPr>
            <w:tcW w:w="2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Warm-up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istening practice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Language focus A&amp;B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Video 1&amp;2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</w:t>
            </w:r>
          </w:p>
        </w:tc>
        <w:tc>
          <w:tcPr>
            <w:tcW w:w="9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情境模拟训练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3EF9"/>
    <w:rsid w:val="30E3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customStyle="1" w:styleId="5">
    <w:name w:val="二级标题"/>
    <w:basedOn w:val="1"/>
    <w:qFormat/>
    <w:uiPriority w:val="0"/>
    <w:pPr>
      <w:spacing w:before="156" w:beforeLines="50" w:after="156" w:afterLines="50"/>
      <w:ind w:firstLine="560" w:firstLineChars="200"/>
    </w:pPr>
    <w:rPr>
      <w:rFonts w:ascii="黑体" w:eastAsia="黑体"/>
      <w:sz w:val="28"/>
      <w:szCs w:val="28"/>
    </w:rPr>
  </w:style>
  <w:style w:type="paragraph" w:customStyle="1" w:styleId="6">
    <w:name w:val="正文内容"/>
    <w:basedOn w:val="1"/>
    <w:uiPriority w:val="0"/>
    <w:pPr>
      <w:spacing w:line="360" w:lineRule="auto"/>
      <w:ind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伊芙</cp:lastModifiedBy>
  <dcterms:modified xsi:type="dcterms:W3CDTF">2019-05-13T00:44:17Z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