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5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644"/>
        <w:gridCol w:w="1083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7" w:hRule="atLeast"/>
        </w:trPr>
        <w:tc>
          <w:tcPr>
            <w:tcW w:w="1106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644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644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鸡尾酒创新</w:t>
            </w: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644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调酒壶、</w:t>
            </w:r>
            <w:r>
              <w:rPr>
                <w:rFonts w:hint="eastAsia" w:ascii="宋体" w:hAnsi="宋体"/>
                <w:bCs/>
                <w:szCs w:val="21"/>
              </w:rPr>
              <w:t>盎司杯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吧匙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鸡尾酒杯等；基酒等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305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企业要求创新出品鸡尾酒，根据要求设计并调制创新鸡尾酒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305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</w:t>
            </w:r>
            <w:r>
              <w:rPr>
                <w:rFonts w:hint="eastAsia"/>
                <w:szCs w:val="21"/>
                <w:lang w:eastAsia="zh-CN"/>
              </w:rPr>
              <w:t>企业介绍创新鸡尾酒思路与成本</w:t>
            </w:r>
            <w:r>
              <w:rPr>
                <w:rFonts w:hint="eastAsia"/>
                <w:szCs w:val="21"/>
                <w:lang w:val="en-US" w:eastAsia="zh-CN"/>
              </w:rPr>
              <w:t>，并规范调制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鸡尾酒命名：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2.鸡尾酒创作原则：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鸡尾酒创作要素：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  <w:bookmarkStart w:id="0" w:name="_GoBack"/>
            <w:bookmarkEnd w:id="0"/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eastAsia="zh-CN"/>
              </w:rPr>
              <w:t>创新鸡尾酒思路与成本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eastAsia="zh-CN"/>
              </w:rPr>
              <w:t>创新鸡尾酒思路与成本、调制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>
      <w:pPr>
        <w:ind w:left="0" w:leftChars="0" w:firstLine="0" w:firstLineChars="0"/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8538"/>
    <w:multiLevelType w:val="singleLevel"/>
    <w:tmpl w:val="0469853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2B3A"/>
    <w:rsid w:val="215A2B3A"/>
    <w:rsid w:val="7F9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2018-10-03T12:45:00Z</dcterms:created>
  <dc:creator>linds009</dc:creator>
  <cp:lastModifiedBy>linds009</cp:lastModifiedBy>
  <dcterms:modified xsi:type="dcterms:W3CDTF">2018-10-03T12:48:53Z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