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6" w:space="7"/>
          <w:right w:val="none" w:color="auto" w:sz="0" w:space="0"/>
        </w:pBdr>
        <w:spacing w:before="0" w:beforeAutospacing="0" w:after="210" w:afterAutospacing="0" w:line="21" w:lineRule="atLeast"/>
        <w:ind w:left="0" w:right="0" w:firstLine="0"/>
        <w:jc w:val="center"/>
        <w:rPr>
          <w:rFonts w:hint="eastAsia" w:ascii="仿宋" w:hAnsi="仿宋" w:eastAsia="仿宋" w:cs="仿宋"/>
          <w:i w:val="0"/>
          <w:caps w:val="0"/>
          <w:color w:val="000000"/>
          <w:spacing w:val="0"/>
          <w:sz w:val="28"/>
          <w:szCs w:val="28"/>
        </w:rPr>
      </w:pPr>
      <w:r>
        <w:rPr>
          <w:rFonts w:hint="eastAsia" w:ascii="仿宋" w:hAnsi="仿宋" w:eastAsia="仿宋" w:cs="仿宋"/>
          <w:i w:val="0"/>
          <w:caps w:val="0"/>
          <w:color w:val="000000"/>
          <w:spacing w:val="0"/>
          <w:sz w:val="28"/>
          <w:szCs w:val="28"/>
          <w:bdr w:val="none" w:color="auto" w:sz="0" w:space="0"/>
        </w:rPr>
        <w:t>发改委：发</w:t>
      </w:r>
      <w:bookmarkStart w:id="0" w:name="_GoBack"/>
      <w:bookmarkEnd w:id="0"/>
      <w:r>
        <w:rPr>
          <w:rFonts w:hint="eastAsia" w:ascii="仿宋" w:hAnsi="仿宋" w:eastAsia="仿宋" w:cs="仿宋"/>
          <w:i w:val="0"/>
          <w:caps w:val="0"/>
          <w:color w:val="000000"/>
          <w:spacing w:val="0"/>
          <w:sz w:val="28"/>
          <w:szCs w:val="28"/>
          <w:bdr w:val="none" w:color="auto" w:sz="0" w:space="0"/>
        </w:rPr>
        <w:t>展农村电商 支持返乡创业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rFonts w:hint="eastAsia" w:ascii="仿宋" w:hAnsi="仿宋" w:eastAsia="仿宋" w:cs="仿宋"/>
          <w:b w:val="0"/>
          <w:i w:val="0"/>
          <w:caps w:val="0"/>
          <w:color w:val="3E3E3E"/>
          <w:spacing w:val="0"/>
          <w:sz w:val="28"/>
          <w:szCs w:val="28"/>
        </w:rPr>
      </w:pPr>
      <w:r>
        <w:rPr>
          <w:rFonts w:hint="eastAsia" w:ascii="仿宋" w:hAnsi="仿宋" w:eastAsia="仿宋" w:cs="仿宋"/>
          <w:b w:val="0"/>
          <w:i w:val="0"/>
          <w:caps w:val="0"/>
          <w:color w:val="3E3E3E"/>
          <w:spacing w:val="0"/>
          <w:sz w:val="28"/>
          <w:szCs w:val="28"/>
          <w:bdr w:val="none" w:color="auto" w:sz="0" w:space="0"/>
          <w:shd w:val="clear" w:fill="FFFFFF"/>
        </w:rPr>
        <w:t>国家发改委近日针对今年上半年中国就业形势组织开展了专题调研并发布调研报告。报告指出，今年以来，经济运行处在合理区间，就业形势总体平稳，新旧增长动力加速转换，就业领域出现了一些新情况、新变化；同时，在多重压力交织叠加下，就业领域依然面临一些挑战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bdr w:val="none" w:color="auto" w:sz="0" w:space="0"/>
          <w:shd w:val="clear" w:fill="FFFFFF"/>
        </w:rPr>
        <w:t>发改委表示，今年以来，中国就业领域主要出现了4大新情况、新变化：一是共享经济茁壮成长，催生了大量新就业形态；二是消费升级催生新动力，服务业吸纳就业能力明显提升；三是返乡创业快速推进，带动就业能力显著增强；四是政策措施力度不断加大，重点人群就业形势总体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bdr w:val="none" w:color="auto" w:sz="0" w:space="0"/>
          <w:shd w:val="clear" w:fill="FFFFFF"/>
        </w:rPr>
        <w:t>在看到积极因素增多的同时，就业领域存在的问题也不容忽视。报告指出，当前，中国新增就业压力与转岗安置困难并存，今年需要就业的新成长劳动力保持在1500万人左右，一些技能单一、年龄偏大的职工转岗安置较为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bdr w:val="none" w:color="auto" w:sz="0" w:space="0"/>
          <w:shd w:val="clear" w:fill="FFFFFF"/>
        </w:rPr>
        <w:t>部分传统产业和资源型地区用工需求低迷，重化工业、建筑业等一些传统产业就业岗位减少，东北地区、山西等部分资源型省区经济继续低速增长，市场用工需求有所下降。此外，返乡创业基础设施不完善与要素瓶颈制约问题亟待解决，返乡创业存在资金不足、土地紧张等要素制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Fonts w:hint="eastAsia" w:ascii="仿宋" w:hAnsi="仿宋" w:eastAsia="仿宋" w:cs="仿宋"/>
          <w:b w:val="0"/>
          <w:i w:val="0"/>
          <w:caps w:val="0"/>
          <w:color w:val="333333"/>
          <w:spacing w:val="0"/>
          <w:sz w:val="28"/>
          <w:szCs w:val="28"/>
          <w:bdr w:val="none" w:color="auto" w:sz="0" w:space="0"/>
          <w:shd w:val="clear" w:fill="FFFFFF"/>
        </w:rPr>
        <w:t>发改委指出，做好当前和今后一段时期就业工作，要聚焦关键环节、脆弱环节、基础环节，把握好四个重要抓手，全力保持就业形势稳定：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第一，从新旧动力看，要加大对新经济、新就业的政策支持。</w:t>
      </w:r>
      <w:r>
        <w:rPr>
          <w:rFonts w:hint="eastAsia" w:ascii="仿宋" w:hAnsi="仿宋" w:eastAsia="仿宋" w:cs="仿宋"/>
          <w:b w:val="0"/>
          <w:i w:val="0"/>
          <w:caps w:val="0"/>
          <w:color w:val="333333"/>
          <w:spacing w:val="0"/>
          <w:sz w:val="28"/>
          <w:szCs w:val="28"/>
          <w:bdr w:val="none" w:color="auto" w:sz="0" w:space="0"/>
          <w:shd w:val="clear" w:fill="FFFFFF"/>
        </w:rPr>
        <w:t>要加快调整政策取向，通过完善风险控制、信用体系、质量安全、税收、社保等方面政策法规，促进社会资源通过共享实现高效充分利用，推动共享经济等新经济形态加快发展，创造更多新增就业机会。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第二，从产业看，既要着力创造新增用工需求，更要有效稳定存量用工基数。</w:t>
      </w:r>
      <w:r>
        <w:rPr>
          <w:rFonts w:hint="eastAsia" w:ascii="仿宋" w:hAnsi="仿宋" w:eastAsia="仿宋" w:cs="仿宋"/>
          <w:b w:val="0"/>
          <w:i w:val="0"/>
          <w:caps w:val="0"/>
          <w:color w:val="333333"/>
          <w:spacing w:val="0"/>
          <w:sz w:val="28"/>
          <w:szCs w:val="28"/>
          <w:bdr w:val="none" w:color="auto" w:sz="0" w:space="0"/>
          <w:shd w:val="clear" w:fill="FFFFFF"/>
        </w:rPr>
        <w:t>一方面，要把握世界科技革命变革方向，加快培育新兴经济和就业增长点；另一方面，对民生需求刚性、劳动密集型的轻工等制造业企业，在加快出台降成本普惠性政策的同时，要实施差别化扶持政策，着力稳定现有就业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第三，从区域看，既要发挥中心城市吸纳就业的龙头带动作用，更要通过发展农村电商支持返乡创业、加快培育经济困难地区接续产业和就地就近就业机会。</w:t>
      </w:r>
      <w:r>
        <w:rPr>
          <w:rFonts w:hint="eastAsia" w:ascii="仿宋" w:hAnsi="仿宋" w:eastAsia="仿宋" w:cs="仿宋"/>
          <w:b w:val="0"/>
          <w:i w:val="0"/>
          <w:caps w:val="0"/>
          <w:color w:val="333333"/>
          <w:spacing w:val="0"/>
          <w:sz w:val="28"/>
          <w:szCs w:val="28"/>
          <w:bdr w:val="none" w:color="auto" w:sz="0" w:space="0"/>
          <w:shd w:val="clear" w:fill="FFFFFF"/>
        </w:rPr>
        <w:t>一方面，要加快推进新型城镇化，扩大中心城市吸纳就业龙头作用，创造更多区域性经济和就业中心；另一方面，也要通过发展农村电商支持返乡创业，积极培育接续产业，缓解困难地区经济发展和就业压力。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仿宋" w:hAnsi="仿宋" w:eastAsia="仿宋" w:cs="仿宋"/>
          <w:b w:val="0"/>
          <w:i w:val="0"/>
          <w:caps w:val="0"/>
          <w:color w:val="333333"/>
          <w:spacing w:val="0"/>
          <w:sz w:val="28"/>
          <w:szCs w:val="28"/>
        </w:rPr>
      </w:pPr>
      <w:r>
        <w:rPr>
          <w:rStyle w:val="5"/>
          <w:rFonts w:hint="eastAsia" w:ascii="仿宋" w:hAnsi="仿宋" w:eastAsia="仿宋" w:cs="仿宋"/>
          <w:i w:val="0"/>
          <w:caps w:val="0"/>
          <w:color w:val="333333"/>
          <w:spacing w:val="0"/>
          <w:sz w:val="28"/>
          <w:szCs w:val="28"/>
          <w:bdr w:val="none" w:color="auto" w:sz="0" w:space="0"/>
          <w:shd w:val="clear" w:fill="FFFFFF"/>
        </w:rPr>
        <w:t>第四，从人群看，要建立五类重点人群与三张网相结合的分类施策机制。</w:t>
      </w:r>
      <w:r>
        <w:rPr>
          <w:rFonts w:hint="eastAsia" w:ascii="仿宋" w:hAnsi="仿宋" w:eastAsia="仿宋" w:cs="仿宋"/>
          <w:b w:val="0"/>
          <w:i w:val="0"/>
          <w:caps w:val="0"/>
          <w:color w:val="333333"/>
          <w:spacing w:val="0"/>
          <w:sz w:val="28"/>
          <w:szCs w:val="28"/>
          <w:bdr w:val="none" w:color="auto" w:sz="0" w:space="0"/>
          <w:shd w:val="clear" w:fill="FFFFFF"/>
        </w:rPr>
        <w:t>主要是针对大学生中的往届名义就业群体和新毕业群体、农民工中失业返乡人员、困难行业有一定人力资本提升潜力的下岗职工、经济困难地区有流动就业意愿人员、就业确有困难人员等五类重点群体，发挥就业信息网、职业培训网、社会保障安全网的协同效应，统筹应对。</w:t>
      </w:r>
    </w:p>
    <w:p>
      <w:pPr>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1870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2016-10-24T07:17:34Z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