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390" w:lineRule="atLeast"/>
        <w:ind w:left="0" w:right="0" w:firstLine="420"/>
        <w:rPr>
          <w:rFonts w:ascii="微软雅黑" w:hAnsi="微软雅黑" w:eastAsia="微软雅黑" w:cs="微软雅黑"/>
          <w:b w:val="0"/>
          <w:i w:val="0"/>
          <w:caps w:val="0"/>
          <w:color w:val="140706"/>
          <w:spacing w:val="0"/>
          <w:sz w:val="24"/>
          <w:szCs w:val="24"/>
        </w:rPr>
      </w:pPr>
      <w:r>
        <w:rPr>
          <w:rFonts w:hint="eastAsia" w:ascii="微软雅黑" w:hAnsi="微软雅黑" w:eastAsia="微软雅黑" w:cs="微软雅黑"/>
          <w:b w:val="0"/>
          <w:i w:val="0"/>
          <w:caps w:val="0"/>
          <w:color w:val="140706"/>
          <w:spacing w:val="0"/>
          <w:sz w:val="24"/>
          <w:szCs w:val="24"/>
          <w:bdr w:val="none" w:color="auto" w:sz="0" w:space="0"/>
          <w:shd w:val="clear" w:fill="FFFFFF"/>
        </w:rPr>
        <w:t>汉卿传媒有限公司为苏宁易购官方旗舰店，雅诗兰黛官方旗舰店，倩碧官方旗舰店，燕之屋食品旗舰店等持续提供视觉开发服务，双十一期间多家店铺均进入行 业TOP10。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390" w:lineRule="atLeast"/>
        <w:ind w:left="0" w:right="0" w:firstLine="420"/>
        <w:rPr>
          <w:rFonts w:hint="eastAsia" w:ascii="微软雅黑" w:hAnsi="微软雅黑" w:eastAsia="微软雅黑" w:cs="微软雅黑"/>
          <w:b w:val="0"/>
          <w:i w:val="0"/>
          <w:caps w:val="0"/>
          <w:color w:val="140706"/>
          <w:spacing w:val="0"/>
          <w:sz w:val="24"/>
          <w:szCs w:val="24"/>
        </w:rPr>
      </w:pPr>
      <w:r>
        <w:rPr>
          <w:rFonts w:hint="eastAsia" w:ascii="微软雅黑" w:hAnsi="微软雅黑" w:eastAsia="微软雅黑" w:cs="微软雅黑"/>
          <w:b w:val="0"/>
          <w:i w:val="0"/>
          <w:caps w:val="0"/>
          <w:color w:val="140706"/>
          <w:spacing w:val="0"/>
          <w:sz w:val="24"/>
          <w:szCs w:val="24"/>
          <w:bdr w:val="none" w:color="auto" w:sz="0" w:space="0"/>
          <w:shd w:val="clear" w:fill="FFFFFF"/>
        </w:rPr>
        <w:t>燕之屋食品旗舰店因其公司的设计师设计理念与设计能力达不到要求，多次到设计定制市场寻找外包设计人员并查看相关案例，最终选择与汉卿传媒有限公司合 作。该设计外包公司接手之前燕之屋食品旗舰店页面视觉杂乱无章、东拼西凑，风格不够明确，更没有转化率可言。接手后，汉卿传媒有限公司针对品牌与产品 特点做了完整的视觉优化，并形成符合品牌理念的设计。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line="390" w:lineRule="atLeast"/>
        <w:ind w:left="0" w:right="0" w:firstLine="420"/>
        <w:rPr>
          <w:rFonts w:hint="eastAsia" w:ascii="微软雅黑" w:hAnsi="微软雅黑" w:eastAsia="微软雅黑" w:cs="微软雅黑"/>
          <w:b w:val="0"/>
          <w:i w:val="0"/>
          <w:caps w:val="0"/>
          <w:color w:val="140706"/>
          <w:spacing w:val="0"/>
          <w:sz w:val="24"/>
          <w:szCs w:val="24"/>
        </w:rPr>
      </w:pPr>
      <w:r>
        <w:rPr>
          <w:rFonts w:hint="eastAsia" w:ascii="微软雅黑" w:hAnsi="微软雅黑" w:eastAsia="微软雅黑" w:cs="微软雅黑"/>
          <w:b w:val="0"/>
          <w:i w:val="0"/>
          <w:caps w:val="0"/>
          <w:color w:val="140706"/>
          <w:spacing w:val="0"/>
          <w:sz w:val="24"/>
          <w:szCs w:val="24"/>
          <w:bdr w:val="none" w:color="auto" w:sz="0" w:space="0"/>
          <w:shd w:val="clear" w:fill="FFFFFF"/>
        </w:rPr>
        <w:t>通过调整，燕之屋食品旗舰店的产品转化率从之前的0.85%提升至3%，营业额从每月的5万元上升到30万。2015年双11，燕之屋食品旗舰店成功的挺进燕 窝类目前三名，最终当天获得800万的销量佳绩。</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1B394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ASUS</cp:lastModifiedBy>
  <dcterms:modified xsi:type="dcterms:W3CDTF">2016-10-13T02:16:48Z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